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media/image1.jpeg" ContentType="image/jpeg"/>
  <Override PartName="/word/media/image2.png" ContentType="image/png"/>
  <Override PartName="/word/media/image3.png" ContentType="image/png"/>
  <Override PartName="/word/media/image4.png" ContentType="image/png"/>
  <Override PartName="/word/media/image5.png" ContentType="image/png"/>
  <Override PartName="/word/media/image6.png" ContentType="image/png"/>
  <Override PartName="/word/settings.xml" ContentType="application/vnd.openxmlformats-officedocument.wordprocessingml.settings+xml"/>
  <Override PartName="/word/styles.xml" ContentType="application/vnd.openxmlformats-officedocument.wordprocessingml.styles+xml"/>
  <Override PartName="/word/header1.xml" ContentType="application/vnd.openxmlformats-officedocument.wordprocessingml.header+xml"/>
  <Override PartName="/word/footer1.xml" ContentType="application/vnd.openxmlformats-officedocument.wordprocessingml.footer+xml"/>
  <Override PartName="/word/numbering.xml" ContentType="application/vnd.openxmlformats-officedocument.wordprocessingml.numbering+xml"/>
  <Override PartName="/word/fontTable.xml" ContentType="application/vnd.openxmlformats-officedocument.wordprocessingml.fontTable+xml"/>
  <Override PartName="/word/theme/theme1.xml" ContentType="application/vnd.openxmlformats-officedocument.theme+xml"/>
  <Override PartName="/word/_rels/document.xml.rels" ContentType="application/vnd.openxmlformats-package.relationships+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Override PartName="/_rels/.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jc w:val="center"/>
        <w:rPr>
          <w:b/>
        </w:rPr>
      </w:pPr>
      <w:r>
        <w:rPr>
          <w:b/>
        </w:rPr>
      </w:r>
      <w:bookmarkStart w:id="0" w:name="_Hlk135043188"/>
      <w:bookmarkStart w:id="1" w:name="_Hlk135043188"/>
      <w:bookmarkEnd w:id="1"/>
    </w:p>
    <w:p>
      <w:pPr>
        <w:pStyle w:val="Normal"/>
        <w:jc w:val="center"/>
        <w:rPr>
          <w:rFonts w:cs="Arial"/>
          <w:b/>
          <w:sz w:val="28"/>
        </w:rPr>
      </w:pPr>
      <w:r>
        <w:rPr>
          <w:rFonts w:cs="Arial"/>
          <w:b/>
          <w:sz w:val="28"/>
        </w:rPr>
        <w:t>MARCHE PUBLIC DE MAITRISE D’OEUVRE</w:t>
      </w:r>
    </w:p>
    <w:p>
      <w:pPr>
        <w:pStyle w:val="Normal"/>
        <w:rPr>
          <w:rFonts w:cs="Arial"/>
          <w:sz w:val="24"/>
          <w:highlight w:val="yellow"/>
        </w:rPr>
      </w:pPr>
      <w:r>
        <w:rPr>
          <w:rFonts w:cs="Arial"/>
          <w:sz w:val="24"/>
          <w:highlight w:val="yellow"/>
        </w:rPr>
      </w:r>
    </w:p>
    <w:p>
      <w:pPr>
        <w:pStyle w:val="Normal"/>
        <w:jc w:val="center"/>
        <w:rPr>
          <w:rFonts w:cs="Arial"/>
          <w:highlight w:val="yellow"/>
        </w:rPr>
      </w:pPr>
      <w:r>
        <w:rPr/>
        <w:drawing>
          <wp:inline distT="0" distB="0" distL="0" distR="0">
            <wp:extent cx="2369820" cy="876300"/>
            <wp:effectExtent l="0" t="0" r="0" b="0"/>
            <wp:docPr id="1" name="Image 34" descr="logo-vad-D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34" descr="logo-vad-Def"/>
                    <pic:cNvPicPr>
                      <a:picLocks noChangeAspect="1" noChangeArrowheads="1"/>
                    </pic:cNvPicPr>
                  </pic:nvPicPr>
                  <pic:blipFill>
                    <a:blip r:embed="rId2"/>
                    <a:stretch>
                      <a:fillRect/>
                    </a:stretch>
                  </pic:blipFill>
                  <pic:spPr bwMode="auto">
                    <a:xfrm>
                      <a:off x="0" y="0"/>
                      <a:ext cx="2369820" cy="876300"/>
                    </a:xfrm>
                    <a:prstGeom prst="rect">
                      <a:avLst/>
                    </a:prstGeom>
                  </pic:spPr>
                </pic:pic>
              </a:graphicData>
            </a:graphic>
          </wp:inline>
        </w:drawing>
      </w:r>
    </w:p>
    <w:p>
      <w:pPr>
        <w:pStyle w:val="Normal"/>
        <w:rPr>
          <w:rFonts w:cs="Arial"/>
          <w:highlight w:val="yellow"/>
        </w:rPr>
      </w:pPr>
      <w:r>
        <w:rPr>
          <w:rFonts w:cs="Arial"/>
          <w:highlight w:val="yellow"/>
        </w:rPr>
      </w:r>
    </w:p>
    <w:p>
      <w:pPr>
        <w:pStyle w:val="AdressePageDeGarde"/>
        <w:rPr>
          <w:rFonts w:ascii="Arial" w:hAnsi="Arial" w:cs="Arial"/>
        </w:rPr>
      </w:pPr>
      <w:r>
        <w:rPr>
          <w:rFonts w:cs="Arial" w:ascii="Arial" w:hAnsi="Arial"/>
        </w:rPr>
        <w:t>Var Aménagement Développement</w:t>
      </w:r>
    </w:p>
    <w:p>
      <w:pPr>
        <w:pStyle w:val="AdressePageDeGarde"/>
        <w:rPr>
          <w:rFonts w:ascii="Arial" w:hAnsi="Arial" w:cs="Arial"/>
        </w:rPr>
      </w:pPr>
      <w:r>
        <w:rPr>
          <w:rFonts w:cs="Arial" w:ascii="Arial" w:hAnsi="Arial"/>
        </w:rPr>
        <w:t>au nom et pour le compte de</w:t>
      </w:r>
    </w:p>
    <w:p>
      <w:pPr>
        <w:pStyle w:val="AdressePageDeGarde"/>
        <w:rPr>
          <w:rFonts w:ascii="Arial" w:hAnsi="Arial" w:cs="Arial"/>
        </w:rPr>
      </w:pPr>
      <w:r>
        <w:rPr>
          <w:rFonts w:cs="Arial" w:ascii="Arial" w:hAnsi="Arial"/>
        </w:rPr>
      </w:r>
    </w:p>
    <w:p>
      <w:pPr>
        <w:pStyle w:val="AdressePageDeGarde"/>
        <w:rPr>
          <w:rFonts w:ascii="Arial" w:hAnsi="Arial" w:cs="Arial"/>
        </w:rPr>
      </w:pPr>
      <w:r>
        <w:rPr>
          <w:rFonts w:cs="Arial" w:ascii="Arial" w:hAnsi="Arial"/>
        </w:rPr>
        <w:t>EPA La Masse des Douanes</w:t>
      </w:r>
    </w:p>
    <w:p>
      <w:pPr>
        <w:pStyle w:val="AdressePageDeGarde"/>
        <w:rPr>
          <w:rFonts w:ascii="Arial" w:hAnsi="Arial" w:cs="Arial"/>
        </w:rPr>
      </w:pPr>
      <w:r>
        <w:rPr>
          <w:rFonts w:cs="Arial" w:ascii="Arial" w:hAnsi="Arial"/>
        </w:rPr>
        <w:t>Immeuble "Les allées de Montreuil"</w:t>
      </w:r>
    </w:p>
    <w:p>
      <w:pPr>
        <w:pStyle w:val="AdressePageDeGarde"/>
        <w:rPr>
          <w:rFonts w:ascii="Arial" w:hAnsi="Arial" w:cs="Arial"/>
        </w:rPr>
      </w:pPr>
      <w:r>
        <w:rPr>
          <w:rFonts w:cs="Arial" w:ascii="Arial" w:hAnsi="Arial"/>
        </w:rPr>
        <w:t>11 rue des Deux Communes</w:t>
      </w:r>
    </w:p>
    <w:p>
      <w:pPr>
        <w:pStyle w:val="AdressePageDeGarde"/>
        <w:rPr>
          <w:rFonts w:ascii="Arial" w:hAnsi="Arial" w:cs="Arial"/>
        </w:rPr>
      </w:pPr>
      <w:r>
        <w:rPr>
          <w:rFonts w:cs="Arial" w:ascii="Arial" w:hAnsi="Arial"/>
        </w:rPr>
        <w:t>93558 Montreuil Cedex</w:t>
      </w:r>
    </w:p>
    <w:p>
      <w:pPr>
        <w:pStyle w:val="Normal"/>
        <w:rPr>
          <w:rFonts w:cs="Arial"/>
        </w:rPr>
      </w:pPr>
      <w:r>
        <w:rPr>
          <w:rFonts w:cs="Arial"/>
        </w:rPr>
      </w:r>
    </w:p>
    <w:p>
      <w:pPr>
        <w:pStyle w:val="Normal"/>
        <w:rPr>
          <w:rFonts w:cs="Arial"/>
        </w:rPr>
      </w:pPr>
      <w:r>
        <w:rPr>
          <w:rFonts w:cs="Arial"/>
        </w:rPr>
      </w:r>
    </w:p>
    <w:p>
      <w:pPr>
        <w:pStyle w:val="Normal"/>
        <w:rPr>
          <w:rFonts w:cs="Arial"/>
        </w:rPr>
      </w:pPr>
      <w:r>
        <w:rPr>
          <w:rFonts w:cs="Arial"/>
        </w:rPr>
      </w:r>
    </w:p>
    <w:tbl>
      <w:tblPr>
        <w:tblW w:w="7100" w:type="dxa"/>
        <w:jc w:val="left"/>
        <w:tblInd w:w="1172" w:type="dxa"/>
        <w:tblLayout w:type="fixed"/>
        <w:tblCellMar>
          <w:top w:w="400" w:type="dxa"/>
          <w:left w:w="0" w:type="dxa"/>
          <w:bottom w:w="400" w:type="dxa"/>
          <w:right w:w="0" w:type="dxa"/>
        </w:tblCellMar>
        <w:tblLook w:firstRow="1" w:noVBand="1" w:lastRow="0" w:firstColumn="1" w:lastColumn="0" w:noHBand="0" w:val="04a0"/>
      </w:tblPr>
      <w:tblGrid>
        <w:gridCol w:w="7100"/>
      </w:tblGrid>
      <w:tr>
        <w:trPr/>
        <w:tc>
          <w:tcPr>
            <w:tcW w:w="7100" w:type="dxa"/>
            <w:tcBorders>
              <w:top w:val="single" w:sz="4" w:space="0" w:color="000000"/>
              <w:bottom w:val="single" w:sz="4" w:space="0" w:color="000000"/>
            </w:tcBorders>
            <w:vAlign w:val="center"/>
          </w:tcPr>
          <w:p>
            <w:pPr>
              <w:pStyle w:val="Normal"/>
              <w:widowControl w:val="false"/>
              <w:spacing w:lineRule="exact" w:line="322"/>
              <w:jc w:val="center"/>
              <w:rPr>
                <w:rFonts w:eastAsia="Arial" w:cs="Arial"/>
                <w:b/>
                <w:color w:val="000000"/>
                <w:sz w:val="28"/>
              </w:rPr>
            </w:pPr>
            <w:r>
              <w:rPr>
                <w:rFonts w:eastAsia="Arial" w:cs="Arial"/>
                <w:b/>
                <w:color w:val="000000"/>
                <w:sz w:val="28"/>
              </w:rPr>
              <w:t>LA CITE DES DOUANES DE PORT DE BOUC</w:t>
            </w:r>
          </w:p>
          <w:p>
            <w:pPr>
              <w:pStyle w:val="Normal"/>
              <w:widowControl w:val="false"/>
              <w:spacing w:lineRule="exact" w:line="322" w:before="0" w:after="0"/>
              <w:jc w:val="center"/>
              <w:rPr>
                <w:rFonts w:eastAsia="Arial" w:cs="Arial"/>
                <w:b/>
                <w:color w:val="000000"/>
                <w:sz w:val="28"/>
              </w:rPr>
            </w:pPr>
            <w:r>
              <w:rPr>
                <w:rFonts w:eastAsia="Arial" w:cs="Arial"/>
                <w:b/>
                <w:color w:val="000000"/>
                <w:sz w:val="28"/>
              </w:rPr>
            </w:r>
          </w:p>
          <w:p>
            <w:pPr>
              <w:pStyle w:val="Normal"/>
              <w:widowControl w:val="false"/>
              <w:spacing w:lineRule="exact" w:line="322"/>
              <w:jc w:val="center"/>
              <w:rPr>
                <w:rFonts w:eastAsia="Arial" w:cs="Arial"/>
                <w:b/>
                <w:color w:val="000000"/>
                <w:sz w:val="28"/>
              </w:rPr>
            </w:pPr>
            <w:r>
              <w:rPr>
                <w:rFonts w:eastAsia="Arial" w:cs="Arial"/>
                <w:b/>
                <w:color w:val="000000"/>
                <w:sz w:val="28"/>
              </w:rPr>
              <w:t>Rénovation des pièces humides de 18 logements</w:t>
            </w:r>
          </w:p>
          <w:p>
            <w:pPr>
              <w:pStyle w:val="Normal"/>
              <w:widowControl w:val="false"/>
              <w:spacing w:lineRule="exact" w:line="322" w:before="0" w:after="160"/>
              <w:jc w:val="center"/>
              <w:rPr>
                <w:rFonts w:eastAsia="Arial" w:cs="Arial"/>
                <w:b/>
                <w:color w:val="000000"/>
                <w:sz w:val="28"/>
              </w:rPr>
            </w:pPr>
            <w:r>
              <w:rPr>
                <w:rFonts w:eastAsia="Arial" w:cs="Arial"/>
                <w:b/>
                <w:color w:val="000000"/>
                <w:sz w:val="28"/>
              </w:rPr>
              <w:t>Cuisines – Salles de bains - WC</w:t>
            </w:r>
          </w:p>
        </w:tc>
      </w:tr>
    </w:tbl>
    <w:p>
      <w:pPr>
        <w:pStyle w:val="Normal"/>
        <w:spacing w:lineRule="exact" w:line="240"/>
        <w:rPr>
          <w:rFonts w:eastAsia="Times New Roman" w:cs="Arial"/>
          <w:sz w:val="24"/>
        </w:rPr>
      </w:pPr>
      <w:r>
        <w:rPr/>
        <w:t xml:space="preserve"> </w:t>
      </w:r>
    </w:p>
    <w:p>
      <w:pPr>
        <w:pStyle w:val="Normal"/>
        <w:rPr>
          <w:rFonts w:cs="Arial"/>
        </w:rPr>
      </w:pPr>
      <w:r>
        <w:rPr>
          <w:rFonts w:cs="Arial"/>
        </w:rPr>
      </w:r>
    </w:p>
    <w:p>
      <w:pPr>
        <w:pStyle w:val="Normal"/>
        <w:pBdr>
          <w:top w:val="double" w:sz="12" w:space="2" w:color="000000" w:shadow="1"/>
          <w:left w:val="double" w:sz="12" w:space="1" w:color="000000" w:shadow="1"/>
          <w:bottom w:val="double" w:sz="12" w:space="1" w:color="000000" w:shadow="1"/>
          <w:right w:val="double" w:sz="12" w:space="1" w:color="000000" w:shadow="1"/>
        </w:pBdr>
        <w:jc w:val="center"/>
        <w:rPr>
          <w:rFonts w:cs="Arial"/>
          <w:sz w:val="26"/>
          <w:szCs w:val="26"/>
        </w:rPr>
      </w:pPr>
      <w:r>
        <w:rPr>
          <w:rFonts w:cs="Arial"/>
          <w:b/>
          <w:caps/>
          <w:sz w:val="26"/>
          <w:szCs w:val="26"/>
        </w:rPr>
        <w:t>consultation d’UN MAITRE D’OEUVRE</w:t>
      </w:r>
    </w:p>
    <w:p>
      <w:pPr>
        <w:pStyle w:val="Normal"/>
        <w:rPr>
          <w:rFonts w:cs="Arial"/>
        </w:rPr>
      </w:pPr>
      <w:r>
        <w:rPr>
          <w:rFonts w:cs="Arial"/>
        </w:rPr>
      </w:r>
    </w:p>
    <w:p>
      <w:pPr>
        <w:pStyle w:val="Normal"/>
        <w:rPr>
          <w:rFonts w:cs="Arial"/>
          <w:highlight w:val="yellow"/>
        </w:rPr>
      </w:pPr>
      <w:r>
        <w:rPr>
          <w:rFonts w:cs="Arial"/>
          <w:highlight w:val="yellow"/>
        </w:rPr>
      </w:r>
    </w:p>
    <w:p>
      <w:pPr>
        <w:pStyle w:val="Normal"/>
        <w:rPr>
          <w:rFonts w:cs="Arial"/>
          <w:highlight w:val="yellow"/>
        </w:rPr>
      </w:pPr>
      <w:r>
        <w:rPr>
          <w:rFonts w:cs="Arial"/>
          <w:highlight w:val="yellow"/>
        </w:rPr>
      </w:r>
    </w:p>
    <w:p>
      <w:pPr>
        <w:pStyle w:val="Normal"/>
        <w:jc w:val="center"/>
        <w:rPr>
          <w:rFonts w:cs="Arial"/>
          <w:b/>
          <w:sz w:val="36"/>
          <w:szCs w:val="36"/>
          <w:u w:val="single"/>
        </w:rPr>
      </w:pPr>
      <w:r>
        <w:rPr>
          <w:rFonts w:cs="Arial"/>
          <w:b/>
          <w:sz w:val="36"/>
          <w:szCs w:val="36"/>
          <w:u w:val="single"/>
        </w:rPr>
        <w:t>Programme / CCTP</w:t>
      </w:r>
    </w:p>
    <w:p>
      <w:pPr>
        <w:pStyle w:val="Normal"/>
        <w:jc w:val="center"/>
        <w:rPr>
          <w:b/>
        </w:rPr>
      </w:pPr>
      <w:r>
        <w:rPr>
          <w:b/>
        </w:rPr>
      </w:r>
    </w:p>
    <w:p>
      <w:pPr>
        <w:pStyle w:val="Normal"/>
        <w:jc w:val="center"/>
        <w:rPr>
          <w:b/>
        </w:rPr>
      </w:pPr>
      <w:r>
        <w:rPr>
          <w:b/>
        </w:rPr>
      </w:r>
    </w:p>
    <w:p>
      <w:pPr>
        <w:pStyle w:val="Normal"/>
        <w:jc w:val="center"/>
        <w:rPr>
          <w:b/>
        </w:rPr>
      </w:pPr>
      <w:r>
        <w:rPr>
          <w:b/>
        </w:rPr>
      </w:r>
    </w:p>
    <w:p>
      <w:pPr>
        <w:pStyle w:val="Normal"/>
        <w:rPr>
          <w:i/>
          <w:i/>
          <w:color w:val="7F7F7F" w:themeColor="text1" w:themeTint="80"/>
        </w:rPr>
      </w:pPr>
      <w:r>
        <w:rPr>
          <w:i/>
          <w:color w:val="7F7F7F" w:themeColor="text1" w:themeTint="80"/>
        </w:rPr>
      </w:r>
    </w:p>
    <w:p>
      <w:pPr>
        <w:pStyle w:val="Normal"/>
        <w:tabs>
          <w:tab w:val="clear" w:pos="708"/>
          <w:tab w:val="left" w:pos="3336" w:leader="none"/>
        </w:tabs>
        <w:rPr/>
      </w:pPr>
      <w:r>
        <w:rPr/>
        <w:tab/>
      </w:r>
    </w:p>
    <w:sdt>
      <w:sdtPr>
        <w:docPartObj>
          <w:docPartGallery w:val="Table of Contents"/>
          <w:docPartUnique w:val="true"/>
        </w:docPartObj>
      </w:sdtPr>
      <w:sdtContent>
        <w:p>
          <w:pPr>
            <w:pStyle w:val="Titredetabledesmatires"/>
            <w:ind w:left="0" w:hanging="0"/>
            <w:jc w:val="center"/>
            <w:rPr>
              <w:rFonts w:ascii="Arial" w:hAnsi="Arial" w:cs="Arial"/>
              <w:color w:val="auto"/>
              <w:sz w:val="44"/>
              <w:szCs w:val="44"/>
            </w:rPr>
          </w:pPr>
          <w:r>
            <w:rPr>
              <w:rFonts w:cs="Arial" w:ascii="Arial" w:hAnsi="Arial"/>
              <w:color w:val="auto"/>
              <w:sz w:val="44"/>
              <w:szCs w:val="44"/>
            </w:rPr>
            <w:t>Sommaire</w:t>
          </w:r>
        </w:p>
        <w:p>
          <w:pPr>
            <w:pStyle w:val="Normal"/>
            <w:rPr>
              <w:lang w:eastAsia="fr-FR"/>
            </w:rPr>
          </w:pPr>
          <w:r>
            <w:rPr>
              <w:lang w:eastAsia="fr-FR"/>
            </w:rPr>
          </w:r>
        </w:p>
        <w:p>
          <w:pPr>
            <w:pStyle w:val="Tabledesmatiresniveau1"/>
            <w:tabs>
              <w:tab w:val="clear" w:pos="708"/>
              <w:tab w:val="left" w:pos="440" w:leader="none"/>
              <w:tab w:val="right" w:pos="9488" w:leader="dot"/>
            </w:tabs>
            <w:rPr>
              <w:rFonts w:ascii="Calibri" w:hAnsi="Calibri" w:eastAsia="" w:asciiTheme="minorHAnsi" w:eastAsiaTheme="minorEastAsia" w:hAnsiTheme="minorHAnsi"/>
              <w:lang w:eastAsia="fr-FR"/>
            </w:rPr>
          </w:pPr>
          <w:r>
            <w:fldChar w:fldCharType="begin"/>
          </w:r>
          <w:r>
            <w:rPr>
              <w:webHidden/>
              <w:rStyle w:val="Sautdindex"/>
            </w:rPr>
            <w:instrText xml:space="preserve"> TOC \z \o "1-3" \u \h</w:instrText>
          </w:r>
          <w:r>
            <w:rPr>
              <w:webHidden/>
              <w:rStyle w:val="Sautdindex"/>
            </w:rPr>
            <w:fldChar w:fldCharType="separate"/>
          </w:r>
          <w:hyperlink w:anchor="_Toc215668026">
            <w:r>
              <w:rPr>
                <w:webHidden/>
                <w:rStyle w:val="Sautdindex"/>
              </w:rPr>
              <w:t>1.</w:t>
            </w:r>
            <w:r>
              <w:rPr>
                <w:rStyle w:val="Sautdindex"/>
                <w:rFonts w:eastAsia="" w:ascii="Calibri" w:hAnsi="Calibri" w:asciiTheme="minorHAnsi" w:eastAsiaTheme="minorEastAsia" w:hAnsiTheme="minorHAnsi"/>
                <w:lang w:eastAsia="fr-FR"/>
              </w:rPr>
              <w:tab/>
            </w:r>
            <w:r>
              <w:rPr>
                <w:rStyle w:val="Sautdindex"/>
              </w:rPr>
              <w:t>OBJET DE L’OPERATION</w:t>
            </w:r>
            <w:r>
              <w:rPr>
                <w:webHidden/>
              </w:rPr>
              <w:fldChar w:fldCharType="begin"/>
            </w:r>
            <w:r>
              <w:rPr>
                <w:webHidden/>
              </w:rPr>
              <w:instrText xml:space="preserve">PAGEREF _Toc215668026 \h</w:instrText>
            </w:r>
            <w:r>
              <w:rPr>
                <w:webHidden/>
              </w:rPr>
              <w:fldChar w:fldCharType="separate"/>
            </w:r>
            <w:r>
              <w:rPr>
                <w:rStyle w:val="Sautdindex"/>
                <w:vanish w:val="false"/>
              </w:rPr>
              <w:tab/>
              <w:t>3</w:t>
            </w:r>
            <w:r>
              <w:rPr>
                <w:webHidden/>
              </w:rPr>
              <w:fldChar w:fldCharType="end"/>
            </w:r>
          </w:hyperlink>
        </w:p>
        <w:p>
          <w:pPr>
            <w:pStyle w:val="Tabledesmatiresniveau2"/>
            <w:tabs>
              <w:tab w:val="clear" w:pos="708"/>
              <w:tab w:val="left" w:pos="880" w:leader="none"/>
              <w:tab w:val="right" w:pos="9488" w:leader="dot"/>
            </w:tabs>
            <w:rPr>
              <w:rFonts w:ascii="Calibri" w:hAnsi="Calibri" w:eastAsia="" w:asciiTheme="minorHAnsi" w:eastAsiaTheme="minorEastAsia" w:hAnsiTheme="minorHAnsi"/>
              <w:lang w:eastAsia="fr-FR"/>
            </w:rPr>
          </w:pPr>
          <w:hyperlink w:anchor="_Toc215668027">
            <w:r>
              <w:rPr>
                <w:webHidden/>
                <w:rStyle w:val="Sautdindex"/>
              </w:rPr>
              <w:t>1.1.</w:t>
            </w:r>
            <w:r>
              <w:rPr>
                <w:rStyle w:val="Sautdindex"/>
                <w:rFonts w:eastAsia="" w:ascii="Calibri" w:hAnsi="Calibri" w:asciiTheme="minorHAnsi" w:eastAsiaTheme="minorEastAsia" w:hAnsiTheme="minorHAnsi"/>
                <w:lang w:eastAsia="fr-FR"/>
              </w:rPr>
              <w:tab/>
            </w:r>
            <w:r>
              <w:rPr>
                <w:rStyle w:val="Sautdindex"/>
              </w:rPr>
              <w:t>Le contexte de l’opération</w:t>
            </w:r>
            <w:r>
              <w:rPr>
                <w:webHidden/>
              </w:rPr>
              <w:fldChar w:fldCharType="begin"/>
            </w:r>
            <w:r>
              <w:rPr>
                <w:webHidden/>
              </w:rPr>
              <w:instrText xml:space="preserve">PAGEREF _Toc215668027 \h</w:instrText>
            </w:r>
            <w:r>
              <w:rPr>
                <w:webHidden/>
              </w:rPr>
              <w:fldChar w:fldCharType="separate"/>
            </w:r>
            <w:r>
              <w:rPr>
                <w:rStyle w:val="Sautdindex"/>
                <w:vanish w:val="false"/>
              </w:rPr>
              <w:tab/>
              <w:t>3</w:t>
            </w:r>
            <w:r>
              <w:rPr>
                <w:webHidden/>
              </w:rPr>
              <w:fldChar w:fldCharType="end"/>
            </w:r>
          </w:hyperlink>
        </w:p>
        <w:p>
          <w:pPr>
            <w:pStyle w:val="Tabledesmatiresniveau2"/>
            <w:tabs>
              <w:tab w:val="clear" w:pos="708"/>
              <w:tab w:val="left" w:pos="880" w:leader="none"/>
              <w:tab w:val="right" w:pos="9488" w:leader="dot"/>
            </w:tabs>
            <w:rPr>
              <w:rFonts w:ascii="Calibri" w:hAnsi="Calibri" w:eastAsia="" w:asciiTheme="minorHAnsi" w:eastAsiaTheme="minorEastAsia" w:hAnsiTheme="minorHAnsi"/>
              <w:lang w:eastAsia="fr-FR"/>
            </w:rPr>
          </w:pPr>
          <w:hyperlink w:anchor="_Toc215668028">
            <w:r>
              <w:rPr>
                <w:webHidden/>
                <w:rStyle w:val="Sautdindex"/>
              </w:rPr>
              <w:t>1.2.</w:t>
            </w:r>
            <w:r>
              <w:rPr>
                <w:rStyle w:val="Sautdindex"/>
                <w:rFonts w:eastAsia="" w:ascii="Calibri" w:hAnsi="Calibri" w:asciiTheme="minorHAnsi" w:eastAsiaTheme="minorEastAsia" w:hAnsiTheme="minorHAnsi"/>
                <w:lang w:eastAsia="fr-FR"/>
              </w:rPr>
              <w:tab/>
            </w:r>
            <w:r>
              <w:rPr>
                <w:rStyle w:val="Sautdindex"/>
              </w:rPr>
              <w:t>Les intervenants de l’opération</w:t>
            </w:r>
            <w:r>
              <w:rPr>
                <w:webHidden/>
              </w:rPr>
              <w:fldChar w:fldCharType="begin"/>
            </w:r>
            <w:r>
              <w:rPr>
                <w:webHidden/>
              </w:rPr>
              <w:instrText xml:space="preserve">PAGEREF _Toc215668028 \h</w:instrText>
            </w:r>
            <w:r>
              <w:rPr>
                <w:webHidden/>
              </w:rPr>
              <w:fldChar w:fldCharType="separate"/>
            </w:r>
            <w:r>
              <w:rPr>
                <w:rStyle w:val="Sautdindex"/>
                <w:vanish w:val="false"/>
              </w:rPr>
              <w:tab/>
              <w:t>3</w:t>
            </w:r>
            <w:r>
              <w:rPr>
                <w:webHidden/>
              </w:rPr>
              <w:fldChar w:fldCharType="end"/>
            </w:r>
          </w:hyperlink>
        </w:p>
        <w:p>
          <w:pPr>
            <w:pStyle w:val="Tabledesmatiresniveau2"/>
            <w:tabs>
              <w:tab w:val="clear" w:pos="708"/>
              <w:tab w:val="left" w:pos="880" w:leader="none"/>
              <w:tab w:val="right" w:pos="9488" w:leader="dot"/>
            </w:tabs>
            <w:rPr>
              <w:rFonts w:ascii="Calibri" w:hAnsi="Calibri" w:eastAsia="" w:asciiTheme="minorHAnsi" w:eastAsiaTheme="minorEastAsia" w:hAnsiTheme="minorHAnsi"/>
              <w:lang w:eastAsia="fr-FR"/>
            </w:rPr>
          </w:pPr>
          <w:hyperlink w:anchor="_Toc215668029">
            <w:r>
              <w:rPr>
                <w:webHidden/>
                <w:rStyle w:val="Sautdindex"/>
              </w:rPr>
              <w:t>1.3.</w:t>
            </w:r>
            <w:r>
              <w:rPr>
                <w:rStyle w:val="Sautdindex"/>
                <w:rFonts w:eastAsia="" w:ascii="Calibri" w:hAnsi="Calibri" w:asciiTheme="minorHAnsi" w:eastAsiaTheme="minorEastAsia" w:hAnsiTheme="minorHAnsi"/>
                <w:lang w:eastAsia="fr-FR"/>
              </w:rPr>
              <w:tab/>
            </w:r>
            <w:r>
              <w:rPr>
                <w:rStyle w:val="Sautdindex"/>
              </w:rPr>
              <w:t>Situation cadastrale</w:t>
            </w:r>
            <w:r>
              <w:rPr>
                <w:webHidden/>
              </w:rPr>
              <w:fldChar w:fldCharType="begin"/>
            </w:r>
            <w:r>
              <w:rPr>
                <w:webHidden/>
              </w:rPr>
              <w:instrText xml:space="preserve">PAGEREF _Toc215668029 \h</w:instrText>
            </w:r>
            <w:r>
              <w:rPr>
                <w:webHidden/>
              </w:rPr>
              <w:fldChar w:fldCharType="separate"/>
            </w:r>
            <w:r>
              <w:rPr>
                <w:rStyle w:val="Sautdindex"/>
                <w:vanish w:val="false"/>
              </w:rPr>
              <w:tab/>
              <w:t>4</w:t>
            </w:r>
            <w:r>
              <w:rPr>
                <w:webHidden/>
              </w:rPr>
              <w:fldChar w:fldCharType="end"/>
            </w:r>
          </w:hyperlink>
        </w:p>
        <w:p>
          <w:pPr>
            <w:pStyle w:val="Tabledesmatiresniveau1"/>
            <w:tabs>
              <w:tab w:val="clear" w:pos="708"/>
              <w:tab w:val="left" w:pos="440" w:leader="none"/>
              <w:tab w:val="right" w:pos="9488" w:leader="dot"/>
            </w:tabs>
            <w:rPr>
              <w:rFonts w:ascii="Calibri" w:hAnsi="Calibri" w:eastAsia="" w:asciiTheme="minorHAnsi" w:eastAsiaTheme="minorEastAsia" w:hAnsiTheme="minorHAnsi"/>
              <w:lang w:eastAsia="fr-FR"/>
            </w:rPr>
          </w:pPr>
          <w:hyperlink w:anchor="_Toc215668030">
            <w:r>
              <w:rPr>
                <w:webHidden/>
                <w:rStyle w:val="Sautdindex"/>
              </w:rPr>
              <w:t>2.</w:t>
            </w:r>
            <w:r>
              <w:rPr>
                <w:rStyle w:val="Sautdindex"/>
                <w:rFonts w:eastAsia="" w:ascii="Calibri" w:hAnsi="Calibri" w:asciiTheme="minorHAnsi" w:eastAsiaTheme="minorEastAsia" w:hAnsiTheme="minorHAnsi"/>
                <w:lang w:eastAsia="fr-FR"/>
              </w:rPr>
              <w:tab/>
            </w:r>
            <w:r>
              <w:rPr>
                <w:rStyle w:val="Sautdindex"/>
              </w:rPr>
              <w:t>CONTRAINTES REGLEMENTAIRES ET ADMINISTRATIVES</w:t>
            </w:r>
            <w:r>
              <w:rPr>
                <w:webHidden/>
              </w:rPr>
              <w:fldChar w:fldCharType="begin"/>
            </w:r>
            <w:r>
              <w:rPr>
                <w:webHidden/>
              </w:rPr>
              <w:instrText xml:space="preserve">PAGEREF _Toc215668030 \h</w:instrText>
            </w:r>
            <w:r>
              <w:rPr>
                <w:webHidden/>
              </w:rPr>
              <w:fldChar w:fldCharType="separate"/>
            </w:r>
            <w:r>
              <w:rPr>
                <w:rStyle w:val="Sautdindex"/>
                <w:vanish w:val="false"/>
              </w:rPr>
              <w:tab/>
              <w:t>4</w:t>
            </w:r>
            <w:r>
              <w:rPr>
                <w:webHidden/>
              </w:rPr>
              <w:fldChar w:fldCharType="end"/>
            </w:r>
          </w:hyperlink>
        </w:p>
        <w:p>
          <w:pPr>
            <w:pStyle w:val="Tabledesmatiresniveau2"/>
            <w:tabs>
              <w:tab w:val="clear" w:pos="708"/>
              <w:tab w:val="left" w:pos="880" w:leader="none"/>
              <w:tab w:val="right" w:pos="9488" w:leader="dot"/>
            </w:tabs>
            <w:rPr>
              <w:rFonts w:ascii="Calibri" w:hAnsi="Calibri" w:eastAsia="" w:asciiTheme="minorHAnsi" w:eastAsiaTheme="minorEastAsia" w:hAnsiTheme="minorHAnsi"/>
              <w:lang w:eastAsia="fr-FR"/>
            </w:rPr>
          </w:pPr>
          <w:hyperlink w:anchor="_Toc215668031">
            <w:r>
              <w:rPr>
                <w:webHidden/>
                <w:rStyle w:val="Sautdindex"/>
              </w:rPr>
              <w:t>2.1.</w:t>
            </w:r>
            <w:r>
              <w:rPr>
                <w:rStyle w:val="Sautdindex"/>
                <w:rFonts w:eastAsia="" w:ascii="Calibri" w:hAnsi="Calibri" w:asciiTheme="minorHAnsi" w:eastAsiaTheme="minorEastAsia" w:hAnsiTheme="minorHAnsi"/>
                <w:lang w:eastAsia="fr-FR"/>
              </w:rPr>
              <w:tab/>
            </w:r>
            <w:r>
              <w:rPr>
                <w:rStyle w:val="Sautdindex"/>
              </w:rPr>
              <w:t>Le cadre réglementaire</w:t>
            </w:r>
            <w:r>
              <w:rPr>
                <w:webHidden/>
              </w:rPr>
              <w:fldChar w:fldCharType="begin"/>
            </w:r>
            <w:r>
              <w:rPr>
                <w:webHidden/>
              </w:rPr>
              <w:instrText xml:space="preserve">PAGEREF _Toc215668031 \h</w:instrText>
            </w:r>
            <w:r>
              <w:rPr>
                <w:webHidden/>
              </w:rPr>
              <w:fldChar w:fldCharType="separate"/>
            </w:r>
            <w:r>
              <w:rPr>
                <w:rStyle w:val="Sautdindex"/>
                <w:vanish w:val="false"/>
              </w:rPr>
              <w:tab/>
              <w:t>4</w:t>
            </w:r>
            <w:r>
              <w:rPr>
                <w:webHidden/>
              </w:rPr>
              <w:fldChar w:fldCharType="end"/>
            </w:r>
          </w:hyperlink>
        </w:p>
        <w:p>
          <w:pPr>
            <w:pStyle w:val="Tabledesmatiresniveau2"/>
            <w:tabs>
              <w:tab w:val="clear" w:pos="708"/>
              <w:tab w:val="left" w:pos="880" w:leader="none"/>
              <w:tab w:val="right" w:pos="9488" w:leader="dot"/>
            </w:tabs>
            <w:rPr>
              <w:rFonts w:ascii="Calibri" w:hAnsi="Calibri" w:eastAsia="" w:asciiTheme="minorHAnsi" w:eastAsiaTheme="minorEastAsia" w:hAnsiTheme="minorHAnsi"/>
              <w:lang w:eastAsia="fr-FR"/>
            </w:rPr>
          </w:pPr>
          <w:hyperlink w:anchor="_Toc215668032">
            <w:r>
              <w:rPr>
                <w:webHidden/>
                <w:rStyle w:val="Sautdindex"/>
              </w:rPr>
              <w:t>2.2.</w:t>
            </w:r>
            <w:r>
              <w:rPr>
                <w:rStyle w:val="Sautdindex"/>
                <w:rFonts w:eastAsia="" w:ascii="Calibri" w:hAnsi="Calibri" w:asciiTheme="minorHAnsi" w:eastAsiaTheme="minorEastAsia" w:hAnsiTheme="minorHAnsi"/>
                <w:lang w:eastAsia="fr-FR"/>
              </w:rPr>
              <w:tab/>
            </w:r>
            <w:r>
              <w:rPr>
                <w:rStyle w:val="Sautdindex"/>
              </w:rPr>
              <w:t>Les exigences environnementales</w:t>
            </w:r>
            <w:r>
              <w:rPr>
                <w:webHidden/>
              </w:rPr>
              <w:fldChar w:fldCharType="begin"/>
            </w:r>
            <w:r>
              <w:rPr>
                <w:webHidden/>
              </w:rPr>
              <w:instrText xml:space="preserve">PAGEREF _Toc215668032 \h</w:instrText>
            </w:r>
            <w:r>
              <w:rPr>
                <w:webHidden/>
              </w:rPr>
              <w:fldChar w:fldCharType="separate"/>
            </w:r>
            <w:r>
              <w:rPr>
                <w:rStyle w:val="Sautdindex"/>
                <w:vanish w:val="false"/>
              </w:rPr>
              <w:tab/>
              <w:t>4</w:t>
            </w:r>
            <w:r>
              <w:rPr>
                <w:webHidden/>
              </w:rPr>
              <w:fldChar w:fldCharType="end"/>
            </w:r>
          </w:hyperlink>
        </w:p>
        <w:p>
          <w:pPr>
            <w:pStyle w:val="Tabledesmatiresniveau2"/>
            <w:tabs>
              <w:tab w:val="clear" w:pos="708"/>
              <w:tab w:val="left" w:pos="880" w:leader="none"/>
              <w:tab w:val="right" w:pos="9488" w:leader="dot"/>
            </w:tabs>
            <w:rPr>
              <w:rFonts w:ascii="Calibri" w:hAnsi="Calibri" w:eastAsia="" w:asciiTheme="minorHAnsi" w:eastAsiaTheme="minorEastAsia" w:hAnsiTheme="minorHAnsi"/>
              <w:lang w:eastAsia="fr-FR"/>
            </w:rPr>
          </w:pPr>
          <w:hyperlink w:anchor="_Toc215668033">
            <w:r>
              <w:rPr>
                <w:webHidden/>
                <w:rStyle w:val="Sautdindex"/>
              </w:rPr>
              <w:t>2.3.</w:t>
            </w:r>
            <w:r>
              <w:rPr>
                <w:rStyle w:val="Sautdindex"/>
                <w:rFonts w:eastAsia="" w:ascii="Calibri" w:hAnsi="Calibri" w:asciiTheme="minorHAnsi" w:eastAsiaTheme="minorEastAsia" w:hAnsiTheme="minorHAnsi"/>
                <w:lang w:eastAsia="fr-FR"/>
              </w:rPr>
              <w:tab/>
            </w:r>
            <w:r>
              <w:rPr>
                <w:rStyle w:val="Sautdindex"/>
              </w:rPr>
              <w:t>Les obligations administratives</w:t>
            </w:r>
            <w:r>
              <w:rPr>
                <w:webHidden/>
              </w:rPr>
              <w:fldChar w:fldCharType="begin"/>
            </w:r>
            <w:r>
              <w:rPr>
                <w:webHidden/>
              </w:rPr>
              <w:instrText xml:space="preserve">PAGEREF _Toc215668033 \h</w:instrText>
            </w:r>
            <w:r>
              <w:rPr>
                <w:webHidden/>
              </w:rPr>
              <w:fldChar w:fldCharType="separate"/>
            </w:r>
            <w:r>
              <w:rPr>
                <w:rStyle w:val="Sautdindex"/>
                <w:vanish w:val="false"/>
              </w:rPr>
              <w:tab/>
              <w:t>4</w:t>
            </w:r>
            <w:r>
              <w:rPr>
                <w:webHidden/>
              </w:rPr>
              <w:fldChar w:fldCharType="end"/>
            </w:r>
          </w:hyperlink>
        </w:p>
        <w:p>
          <w:pPr>
            <w:pStyle w:val="Tabledesmatiresniveau1"/>
            <w:tabs>
              <w:tab w:val="clear" w:pos="708"/>
              <w:tab w:val="left" w:pos="440" w:leader="none"/>
              <w:tab w:val="right" w:pos="9488" w:leader="dot"/>
            </w:tabs>
            <w:rPr>
              <w:rFonts w:ascii="Calibri" w:hAnsi="Calibri" w:eastAsia="" w:asciiTheme="minorHAnsi" w:eastAsiaTheme="minorEastAsia" w:hAnsiTheme="minorHAnsi"/>
              <w:lang w:eastAsia="fr-FR"/>
            </w:rPr>
          </w:pPr>
          <w:hyperlink w:anchor="_Toc215668034">
            <w:r>
              <w:rPr>
                <w:webHidden/>
                <w:rStyle w:val="Sautdindex"/>
              </w:rPr>
              <w:t>3.</w:t>
            </w:r>
            <w:r>
              <w:rPr>
                <w:rStyle w:val="Sautdindex"/>
                <w:rFonts w:eastAsia="" w:ascii="Calibri" w:hAnsi="Calibri" w:asciiTheme="minorHAnsi" w:eastAsiaTheme="minorEastAsia" w:hAnsiTheme="minorHAnsi"/>
                <w:lang w:eastAsia="fr-FR"/>
              </w:rPr>
              <w:tab/>
            </w:r>
            <w:r>
              <w:rPr>
                <w:rStyle w:val="Sautdindex"/>
              </w:rPr>
              <w:t>PRESENTATION DE L’EXISTANT</w:t>
            </w:r>
            <w:r>
              <w:rPr>
                <w:webHidden/>
              </w:rPr>
              <w:fldChar w:fldCharType="begin"/>
            </w:r>
            <w:r>
              <w:rPr>
                <w:webHidden/>
              </w:rPr>
              <w:instrText xml:space="preserve">PAGEREF _Toc215668034 \h</w:instrText>
            </w:r>
            <w:r>
              <w:rPr>
                <w:webHidden/>
              </w:rPr>
              <w:fldChar w:fldCharType="separate"/>
            </w:r>
            <w:r>
              <w:rPr>
                <w:rStyle w:val="Sautdindex"/>
                <w:vanish w:val="false"/>
              </w:rPr>
              <w:tab/>
              <w:t>5</w:t>
            </w:r>
            <w:r>
              <w:rPr>
                <w:webHidden/>
              </w:rPr>
              <w:fldChar w:fldCharType="end"/>
            </w:r>
          </w:hyperlink>
        </w:p>
        <w:p>
          <w:pPr>
            <w:pStyle w:val="Tabledesmatiresniveau1"/>
            <w:tabs>
              <w:tab w:val="clear" w:pos="708"/>
              <w:tab w:val="left" w:pos="440" w:leader="none"/>
              <w:tab w:val="right" w:pos="9488" w:leader="dot"/>
            </w:tabs>
            <w:rPr>
              <w:rFonts w:ascii="Calibri" w:hAnsi="Calibri" w:eastAsia="" w:asciiTheme="minorHAnsi" w:eastAsiaTheme="minorEastAsia" w:hAnsiTheme="minorHAnsi"/>
              <w:lang w:eastAsia="fr-FR"/>
            </w:rPr>
          </w:pPr>
          <w:hyperlink w:anchor="_Toc215668035">
            <w:r>
              <w:rPr>
                <w:webHidden/>
                <w:rStyle w:val="Sautdindex"/>
              </w:rPr>
              <w:t>4.</w:t>
            </w:r>
            <w:r>
              <w:rPr>
                <w:rStyle w:val="Sautdindex"/>
                <w:rFonts w:eastAsia="" w:ascii="Calibri" w:hAnsi="Calibri" w:asciiTheme="minorHAnsi" w:eastAsiaTheme="minorEastAsia" w:hAnsiTheme="minorHAnsi"/>
                <w:lang w:eastAsia="fr-FR"/>
              </w:rPr>
              <w:tab/>
            </w:r>
            <w:r>
              <w:rPr>
                <w:rStyle w:val="Sautdindex"/>
              </w:rPr>
              <w:t>LES ELEMENTS PROGRAMMATIQUES DE L’OPERATION</w:t>
            </w:r>
            <w:r>
              <w:rPr>
                <w:webHidden/>
              </w:rPr>
              <w:fldChar w:fldCharType="begin"/>
            </w:r>
            <w:r>
              <w:rPr>
                <w:webHidden/>
              </w:rPr>
              <w:instrText xml:space="preserve">PAGEREF _Toc215668035 \h</w:instrText>
            </w:r>
            <w:r>
              <w:rPr>
                <w:webHidden/>
              </w:rPr>
              <w:fldChar w:fldCharType="separate"/>
            </w:r>
            <w:r>
              <w:rPr>
                <w:rStyle w:val="Sautdindex"/>
                <w:vanish w:val="false"/>
              </w:rPr>
              <w:tab/>
              <w:t>5</w:t>
            </w:r>
            <w:r>
              <w:rPr>
                <w:webHidden/>
              </w:rPr>
              <w:fldChar w:fldCharType="end"/>
            </w:r>
          </w:hyperlink>
        </w:p>
        <w:p>
          <w:pPr>
            <w:pStyle w:val="Tabledesmatiresniveau2"/>
            <w:tabs>
              <w:tab w:val="clear" w:pos="708"/>
              <w:tab w:val="left" w:pos="880" w:leader="none"/>
              <w:tab w:val="right" w:pos="9488" w:leader="dot"/>
            </w:tabs>
            <w:rPr>
              <w:rFonts w:ascii="Calibri" w:hAnsi="Calibri" w:eastAsia="" w:asciiTheme="minorHAnsi" w:eastAsiaTheme="minorEastAsia" w:hAnsiTheme="minorHAnsi"/>
              <w:lang w:eastAsia="fr-FR"/>
            </w:rPr>
          </w:pPr>
          <w:hyperlink w:anchor="_Toc215668036">
            <w:r>
              <w:rPr>
                <w:webHidden/>
                <w:rStyle w:val="Sautdindex"/>
              </w:rPr>
              <w:t>4.1.</w:t>
            </w:r>
            <w:r>
              <w:rPr>
                <w:rStyle w:val="Sautdindex"/>
                <w:rFonts w:eastAsia="" w:ascii="Calibri" w:hAnsi="Calibri" w:asciiTheme="minorHAnsi" w:eastAsiaTheme="minorEastAsia" w:hAnsiTheme="minorHAnsi"/>
                <w:lang w:eastAsia="fr-FR"/>
              </w:rPr>
              <w:tab/>
            </w:r>
            <w:r>
              <w:rPr>
                <w:rStyle w:val="Sautdindex"/>
              </w:rPr>
              <w:t>Description générale de l’opération</w:t>
            </w:r>
            <w:r>
              <w:rPr>
                <w:webHidden/>
              </w:rPr>
              <w:fldChar w:fldCharType="begin"/>
            </w:r>
            <w:r>
              <w:rPr>
                <w:webHidden/>
              </w:rPr>
              <w:instrText xml:space="preserve">PAGEREF _Toc215668036 \h</w:instrText>
            </w:r>
            <w:r>
              <w:rPr>
                <w:webHidden/>
              </w:rPr>
              <w:fldChar w:fldCharType="separate"/>
            </w:r>
            <w:r>
              <w:rPr>
                <w:rStyle w:val="Sautdindex"/>
                <w:vanish w:val="false"/>
              </w:rPr>
              <w:tab/>
              <w:t>5</w:t>
            </w:r>
            <w:r>
              <w:rPr>
                <w:webHidden/>
              </w:rPr>
              <w:fldChar w:fldCharType="end"/>
            </w:r>
          </w:hyperlink>
        </w:p>
        <w:p>
          <w:pPr>
            <w:pStyle w:val="Tabledesmatiresniveau2"/>
            <w:tabs>
              <w:tab w:val="clear" w:pos="708"/>
              <w:tab w:val="left" w:pos="880" w:leader="none"/>
              <w:tab w:val="right" w:pos="9488" w:leader="dot"/>
            </w:tabs>
            <w:rPr>
              <w:rFonts w:ascii="Calibri" w:hAnsi="Calibri" w:eastAsia="" w:asciiTheme="minorHAnsi" w:eastAsiaTheme="minorEastAsia" w:hAnsiTheme="minorHAnsi"/>
              <w:lang w:eastAsia="fr-FR"/>
            </w:rPr>
          </w:pPr>
          <w:hyperlink w:anchor="_Toc215668037">
            <w:r>
              <w:rPr>
                <w:webHidden/>
                <w:rStyle w:val="Sautdindex"/>
              </w:rPr>
              <w:t>4.2.</w:t>
            </w:r>
            <w:r>
              <w:rPr>
                <w:rStyle w:val="Sautdindex"/>
                <w:rFonts w:eastAsia="" w:ascii="Calibri" w:hAnsi="Calibri" w:asciiTheme="minorHAnsi" w:eastAsiaTheme="minorEastAsia" w:hAnsiTheme="minorHAnsi"/>
                <w:lang w:eastAsia="fr-FR"/>
              </w:rPr>
              <w:tab/>
            </w:r>
            <w:r>
              <w:rPr>
                <w:rStyle w:val="Sautdindex"/>
              </w:rPr>
              <w:t>Le budget alloué aux travaux</w:t>
            </w:r>
            <w:r>
              <w:rPr>
                <w:webHidden/>
              </w:rPr>
              <w:fldChar w:fldCharType="begin"/>
            </w:r>
            <w:r>
              <w:rPr>
                <w:webHidden/>
              </w:rPr>
              <w:instrText xml:space="preserve">PAGEREF _Toc215668037 \h</w:instrText>
            </w:r>
            <w:r>
              <w:rPr>
                <w:webHidden/>
              </w:rPr>
              <w:fldChar w:fldCharType="separate"/>
            </w:r>
            <w:r>
              <w:rPr>
                <w:rStyle w:val="Sautdindex"/>
                <w:vanish w:val="false"/>
              </w:rPr>
              <w:tab/>
              <w:t>6</w:t>
            </w:r>
            <w:r>
              <w:rPr>
                <w:webHidden/>
              </w:rPr>
              <w:fldChar w:fldCharType="end"/>
            </w:r>
          </w:hyperlink>
        </w:p>
        <w:p>
          <w:pPr>
            <w:pStyle w:val="Tabledesmatiresniveau2"/>
            <w:tabs>
              <w:tab w:val="clear" w:pos="708"/>
              <w:tab w:val="left" w:pos="880" w:leader="none"/>
              <w:tab w:val="right" w:pos="9488" w:leader="dot"/>
            </w:tabs>
            <w:rPr>
              <w:rFonts w:ascii="Calibri" w:hAnsi="Calibri" w:eastAsia="" w:asciiTheme="minorHAnsi" w:eastAsiaTheme="minorEastAsia" w:hAnsiTheme="minorHAnsi"/>
              <w:lang w:eastAsia="fr-FR"/>
            </w:rPr>
          </w:pPr>
          <w:hyperlink w:anchor="_Toc215668038">
            <w:r>
              <w:rPr>
                <w:webHidden/>
                <w:rStyle w:val="Sautdindex"/>
              </w:rPr>
              <w:t>4.3.</w:t>
            </w:r>
            <w:r>
              <w:rPr>
                <w:rStyle w:val="Sautdindex"/>
                <w:rFonts w:eastAsia="" w:ascii="Calibri" w:hAnsi="Calibri" w:asciiTheme="minorHAnsi" w:eastAsiaTheme="minorEastAsia" w:hAnsiTheme="minorHAnsi"/>
                <w:lang w:eastAsia="fr-FR"/>
              </w:rPr>
              <w:tab/>
            </w:r>
            <w:r>
              <w:rPr>
                <w:rStyle w:val="Sautdindex"/>
              </w:rPr>
              <w:t>Décomposition du marché de maitrise d’œuvre en tranches</w:t>
            </w:r>
            <w:r>
              <w:rPr>
                <w:webHidden/>
              </w:rPr>
              <w:fldChar w:fldCharType="begin"/>
            </w:r>
            <w:r>
              <w:rPr>
                <w:webHidden/>
              </w:rPr>
              <w:instrText xml:space="preserve">PAGEREF _Toc215668038 \h</w:instrText>
            </w:r>
            <w:r>
              <w:rPr>
                <w:webHidden/>
              </w:rPr>
              <w:fldChar w:fldCharType="separate"/>
            </w:r>
            <w:r>
              <w:rPr>
                <w:rStyle w:val="Sautdindex"/>
                <w:vanish w:val="false"/>
              </w:rPr>
              <w:tab/>
              <w:t>6</w:t>
            </w:r>
            <w:r>
              <w:rPr>
                <w:webHidden/>
              </w:rPr>
              <w:fldChar w:fldCharType="end"/>
            </w:r>
          </w:hyperlink>
        </w:p>
        <w:p>
          <w:pPr>
            <w:pStyle w:val="Tabledesmatiresniveau2"/>
            <w:tabs>
              <w:tab w:val="clear" w:pos="708"/>
              <w:tab w:val="left" w:pos="880" w:leader="none"/>
              <w:tab w:val="right" w:pos="9488" w:leader="dot"/>
            </w:tabs>
            <w:rPr>
              <w:rFonts w:ascii="Calibri" w:hAnsi="Calibri" w:eastAsia="" w:asciiTheme="minorHAnsi" w:eastAsiaTheme="minorEastAsia" w:hAnsiTheme="minorHAnsi"/>
              <w:lang w:eastAsia="fr-FR"/>
            </w:rPr>
          </w:pPr>
          <w:hyperlink w:anchor="_Toc215668039">
            <w:r>
              <w:rPr>
                <w:webHidden/>
                <w:rStyle w:val="Sautdindex"/>
              </w:rPr>
              <w:t>4.4.</w:t>
            </w:r>
            <w:r>
              <w:rPr>
                <w:rStyle w:val="Sautdindex"/>
                <w:rFonts w:eastAsia="" w:ascii="Calibri" w:hAnsi="Calibri" w:asciiTheme="minorHAnsi" w:eastAsiaTheme="minorEastAsia" w:hAnsiTheme="minorHAnsi"/>
                <w:lang w:eastAsia="fr-FR"/>
              </w:rPr>
              <w:tab/>
            </w:r>
            <w:r>
              <w:rPr>
                <w:rStyle w:val="Sautdindex"/>
              </w:rPr>
              <w:t>Le planning enveloppe de l’opération</w:t>
            </w:r>
            <w:r>
              <w:rPr>
                <w:webHidden/>
              </w:rPr>
              <w:fldChar w:fldCharType="begin"/>
            </w:r>
            <w:r>
              <w:rPr>
                <w:webHidden/>
              </w:rPr>
              <w:instrText xml:space="preserve">PAGEREF _Toc215668039 \h</w:instrText>
            </w:r>
            <w:r>
              <w:rPr>
                <w:webHidden/>
              </w:rPr>
              <w:fldChar w:fldCharType="separate"/>
            </w:r>
            <w:r>
              <w:rPr>
                <w:rStyle w:val="Sautdindex"/>
                <w:vanish w:val="false"/>
              </w:rPr>
              <w:tab/>
              <w:t>6</w:t>
            </w:r>
            <w:r>
              <w:rPr>
                <w:webHidden/>
              </w:rPr>
              <w:fldChar w:fldCharType="end"/>
            </w:r>
          </w:hyperlink>
        </w:p>
        <w:p>
          <w:pPr>
            <w:pStyle w:val="Tabledesmatiresniveau1"/>
            <w:tabs>
              <w:tab w:val="clear" w:pos="708"/>
              <w:tab w:val="left" w:pos="440" w:leader="none"/>
              <w:tab w:val="right" w:pos="9488" w:leader="dot"/>
            </w:tabs>
            <w:rPr>
              <w:rFonts w:ascii="Calibri" w:hAnsi="Calibri" w:eastAsia="" w:asciiTheme="minorHAnsi" w:eastAsiaTheme="minorEastAsia" w:hAnsiTheme="minorHAnsi"/>
              <w:lang w:eastAsia="fr-FR"/>
            </w:rPr>
          </w:pPr>
          <w:hyperlink w:anchor="_Toc215668040">
            <w:r>
              <w:rPr>
                <w:webHidden/>
                <w:rStyle w:val="Sautdindex"/>
              </w:rPr>
              <w:t>5.</w:t>
            </w:r>
            <w:r>
              <w:rPr>
                <w:rStyle w:val="Sautdindex"/>
                <w:rFonts w:eastAsia="" w:ascii="Calibri" w:hAnsi="Calibri" w:asciiTheme="minorHAnsi" w:eastAsiaTheme="minorEastAsia" w:hAnsiTheme="minorHAnsi"/>
                <w:lang w:eastAsia="fr-FR"/>
              </w:rPr>
              <w:tab/>
            </w:r>
            <w:r>
              <w:rPr>
                <w:rStyle w:val="Sautdindex"/>
              </w:rPr>
              <w:t>LES MISSIONS DE LA MAITRISE D’ŒUVRE</w:t>
            </w:r>
            <w:r>
              <w:rPr>
                <w:webHidden/>
              </w:rPr>
              <w:fldChar w:fldCharType="begin"/>
            </w:r>
            <w:r>
              <w:rPr>
                <w:webHidden/>
              </w:rPr>
              <w:instrText xml:space="preserve">PAGEREF _Toc215668040 \h</w:instrText>
            </w:r>
            <w:r>
              <w:rPr>
                <w:webHidden/>
              </w:rPr>
              <w:fldChar w:fldCharType="separate"/>
            </w:r>
            <w:r>
              <w:rPr>
                <w:rStyle w:val="Sautdindex"/>
                <w:vanish w:val="false"/>
              </w:rPr>
              <w:tab/>
              <w:t>6</w:t>
            </w:r>
            <w:r>
              <w:rPr>
                <w:webHidden/>
              </w:rPr>
              <w:fldChar w:fldCharType="end"/>
            </w:r>
          </w:hyperlink>
        </w:p>
        <w:p>
          <w:pPr>
            <w:pStyle w:val="Tabledesmatiresniveau2"/>
            <w:tabs>
              <w:tab w:val="clear" w:pos="708"/>
              <w:tab w:val="left" w:pos="880" w:leader="none"/>
              <w:tab w:val="right" w:pos="9488" w:leader="dot"/>
            </w:tabs>
            <w:rPr>
              <w:rFonts w:ascii="Calibri" w:hAnsi="Calibri" w:eastAsia="" w:asciiTheme="minorHAnsi" w:eastAsiaTheme="minorEastAsia" w:hAnsiTheme="minorHAnsi"/>
              <w:lang w:eastAsia="fr-FR"/>
            </w:rPr>
          </w:pPr>
          <w:hyperlink w:anchor="_Toc215668041">
            <w:r>
              <w:rPr>
                <w:webHidden/>
                <w:rStyle w:val="Sautdindex"/>
              </w:rPr>
              <w:t>5.1.</w:t>
            </w:r>
            <w:r>
              <w:rPr>
                <w:rStyle w:val="Sautdindex"/>
                <w:rFonts w:eastAsia="" w:ascii="Calibri" w:hAnsi="Calibri" w:asciiTheme="minorHAnsi" w:eastAsiaTheme="minorEastAsia" w:hAnsiTheme="minorHAnsi"/>
                <w:lang w:eastAsia="fr-FR"/>
              </w:rPr>
              <w:tab/>
            </w:r>
            <w:r>
              <w:rPr>
                <w:rStyle w:val="Sautdindex"/>
              </w:rPr>
              <w:t>Etude diagnostic (DIAG)</w:t>
            </w:r>
            <w:r>
              <w:rPr>
                <w:webHidden/>
              </w:rPr>
              <w:fldChar w:fldCharType="begin"/>
            </w:r>
            <w:r>
              <w:rPr>
                <w:webHidden/>
              </w:rPr>
              <w:instrText xml:space="preserve">PAGEREF _Toc215668041 \h</w:instrText>
            </w:r>
            <w:r>
              <w:rPr>
                <w:webHidden/>
              </w:rPr>
              <w:fldChar w:fldCharType="separate"/>
            </w:r>
            <w:r>
              <w:rPr>
                <w:rStyle w:val="Sautdindex"/>
                <w:vanish w:val="false"/>
              </w:rPr>
              <w:tab/>
              <w:t>6</w:t>
            </w:r>
            <w:r>
              <w:rPr>
                <w:webHidden/>
              </w:rPr>
              <w:fldChar w:fldCharType="end"/>
            </w:r>
          </w:hyperlink>
        </w:p>
        <w:p>
          <w:pPr>
            <w:pStyle w:val="Tabledesmatiresniveau2"/>
            <w:tabs>
              <w:tab w:val="clear" w:pos="708"/>
              <w:tab w:val="left" w:pos="880" w:leader="none"/>
              <w:tab w:val="right" w:pos="9488" w:leader="dot"/>
            </w:tabs>
            <w:rPr>
              <w:rFonts w:ascii="Calibri" w:hAnsi="Calibri" w:eastAsia="" w:asciiTheme="minorHAnsi" w:eastAsiaTheme="minorEastAsia" w:hAnsiTheme="minorHAnsi"/>
              <w:lang w:eastAsia="fr-FR"/>
            </w:rPr>
          </w:pPr>
          <w:hyperlink w:anchor="_Toc215668042">
            <w:r>
              <w:rPr>
                <w:webHidden/>
                <w:rStyle w:val="Sautdindex"/>
              </w:rPr>
              <w:t>5.2.</w:t>
            </w:r>
            <w:r>
              <w:rPr>
                <w:rStyle w:val="Sautdindex"/>
                <w:rFonts w:eastAsia="" w:ascii="Calibri" w:hAnsi="Calibri" w:asciiTheme="minorHAnsi" w:eastAsiaTheme="minorEastAsia" w:hAnsiTheme="minorHAnsi"/>
                <w:lang w:eastAsia="fr-FR"/>
              </w:rPr>
              <w:tab/>
            </w:r>
            <w:r>
              <w:rPr>
                <w:rStyle w:val="Sautdindex"/>
              </w:rPr>
              <w:t>Etudes avant-projet (AVP)</w:t>
            </w:r>
            <w:r>
              <w:rPr>
                <w:webHidden/>
              </w:rPr>
              <w:fldChar w:fldCharType="begin"/>
            </w:r>
            <w:r>
              <w:rPr>
                <w:webHidden/>
              </w:rPr>
              <w:instrText xml:space="preserve">PAGEREF _Toc215668042 \h</w:instrText>
            </w:r>
            <w:r>
              <w:rPr>
                <w:webHidden/>
              </w:rPr>
              <w:fldChar w:fldCharType="separate"/>
            </w:r>
            <w:r>
              <w:rPr>
                <w:rStyle w:val="Sautdindex"/>
                <w:vanish w:val="false"/>
              </w:rPr>
              <w:tab/>
              <w:t>6</w:t>
            </w:r>
            <w:r>
              <w:rPr>
                <w:webHidden/>
              </w:rPr>
              <w:fldChar w:fldCharType="end"/>
            </w:r>
          </w:hyperlink>
        </w:p>
        <w:p>
          <w:pPr>
            <w:pStyle w:val="Tabledesmatiresniveau2"/>
            <w:tabs>
              <w:tab w:val="clear" w:pos="708"/>
              <w:tab w:val="left" w:pos="880" w:leader="none"/>
              <w:tab w:val="right" w:pos="9488" w:leader="dot"/>
            </w:tabs>
            <w:rPr>
              <w:rFonts w:ascii="Calibri" w:hAnsi="Calibri" w:eastAsia="" w:asciiTheme="minorHAnsi" w:eastAsiaTheme="minorEastAsia" w:hAnsiTheme="minorHAnsi"/>
              <w:lang w:eastAsia="fr-FR"/>
            </w:rPr>
          </w:pPr>
          <w:hyperlink w:anchor="_Toc215668043">
            <w:r>
              <w:rPr>
                <w:webHidden/>
                <w:rStyle w:val="Sautdindex"/>
              </w:rPr>
              <w:t>5.3.</w:t>
            </w:r>
            <w:r>
              <w:rPr>
                <w:rStyle w:val="Sautdindex"/>
                <w:rFonts w:eastAsia="" w:ascii="Calibri" w:hAnsi="Calibri" w:asciiTheme="minorHAnsi" w:eastAsiaTheme="minorEastAsia" w:hAnsiTheme="minorHAnsi"/>
                <w:lang w:eastAsia="fr-FR"/>
              </w:rPr>
              <w:tab/>
            </w:r>
            <w:r>
              <w:rPr>
                <w:rStyle w:val="Sautdindex"/>
              </w:rPr>
              <w:t>Etudes de projet (PRO/DCE)</w:t>
            </w:r>
            <w:r>
              <w:rPr>
                <w:webHidden/>
              </w:rPr>
              <w:fldChar w:fldCharType="begin"/>
            </w:r>
            <w:r>
              <w:rPr>
                <w:webHidden/>
              </w:rPr>
              <w:instrText xml:space="preserve">PAGEREF _Toc215668043 \h</w:instrText>
            </w:r>
            <w:r>
              <w:rPr>
                <w:webHidden/>
              </w:rPr>
              <w:fldChar w:fldCharType="separate"/>
            </w:r>
            <w:r>
              <w:rPr>
                <w:rStyle w:val="Sautdindex"/>
                <w:vanish w:val="false"/>
              </w:rPr>
              <w:tab/>
              <w:t>7</w:t>
            </w:r>
            <w:r>
              <w:rPr>
                <w:webHidden/>
              </w:rPr>
              <w:fldChar w:fldCharType="end"/>
            </w:r>
          </w:hyperlink>
        </w:p>
        <w:p>
          <w:pPr>
            <w:pStyle w:val="Tabledesmatiresniveau2"/>
            <w:tabs>
              <w:tab w:val="clear" w:pos="708"/>
              <w:tab w:val="left" w:pos="880" w:leader="none"/>
              <w:tab w:val="right" w:pos="9488" w:leader="dot"/>
            </w:tabs>
            <w:rPr>
              <w:rFonts w:ascii="Calibri" w:hAnsi="Calibri" w:eastAsia="" w:asciiTheme="minorHAnsi" w:eastAsiaTheme="minorEastAsia" w:hAnsiTheme="minorHAnsi"/>
              <w:lang w:eastAsia="fr-FR"/>
            </w:rPr>
          </w:pPr>
          <w:hyperlink w:anchor="_Toc215668044">
            <w:r>
              <w:rPr>
                <w:webHidden/>
                <w:rStyle w:val="Sautdindex"/>
              </w:rPr>
              <w:t>5.4.</w:t>
            </w:r>
            <w:r>
              <w:rPr>
                <w:rStyle w:val="Sautdindex"/>
                <w:rFonts w:eastAsia="" w:ascii="Calibri" w:hAnsi="Calibri" w:asciiTheme="minorHAnsi" w:eastAsiaTheme="minorEastAsia" w:hAnsiTheme="minorHAnsi"/>
                <w:lang w:eastAsia="fr-FR"/>
              </w:rPr>
              <w:tab/>
            </w:r>
            <w:r>
              <w:rPr>
                <w:rStyle w:val="Sautdindex"/>
                <w:rFonts w:cs="Arial"/>
              </w:rPr>
              <w:t>Assistance pour la passation du Contrat de Travaux (</w:t>
            </w:r>
            <w:r>
              <w:rPr>
                <w:rStyle w:val="Sautdindex"/>
              </w:rPr>
              <w:t>ACT)</w:t>
            </w:r>
            <w:r>
              <w:rPr>
                <w:webHidden/>
              </w:rPr>
              <w:fldChar w:fldCharType="begin"/>
            </w:r>
            <w:r>
              <w:rPr>
                <w:webHidden/>
              </w:rPr>
              <w:instrText xml:space="preserve">PAGEREF _Toc215668044 \h</w:instrText>
            </w:r>
            <w:r>
              <w:rPr>
                <w:webHidden/>
              </w:rPr>
              <w:fldChar w:fldCharType="separate"/>
            </w:r>
            <w:r>
              <w:rPr>
                <w:rStyle w:val="Sautdindex"/>
                <w:vanish w:val="false"/>
              </w:rPr>
              <w:tab/>
              <w:t>7</w:t>
            </w:r>
            <w:r>
              <w:rPr>
                <w:webHidden/>
              </w:rPr>
              <w:fldChar w:fldCharType="end"/>
            </w:r>
          </w:hyperlink>
        </w:p>
        <w:p>
          <w:pPr>
            <w:pStyle w:val="Tabledesmatiresniveau2"/>
            <w:tabs>
              <w:tab w:val="clear" w:pos="708"/>
              <w:tab w:val="left" w:pos="880" w:leader="none"/>
              <w:tab w:val="right" w:pos="9488" w:leader="dot"/>
            </w:tabs>
            <w:rPr>
              <w:rFonts w:ascii="Calibri" w:hAnsi="Calibri" w:eastAsia="" w:asciiTheme="minorHAnsi" w:eastAsiaTheme="minorEastAsia" w:hAnsiTheme="minorHAnsi"/>
              <w:lang w:eastAsia="fr-FR"/>
            </w:rPr>
          </w:pPr>
          <w:hyperlink w:anchor="_Toc215668045">
            <w:r>
              <w:rPr>
                <w:webHidden/>
                <w:rStyle w:val="Sautdindex"/>
              </w:rPr>
              <w:t>5.5.</w:t>
            </w:r>
            <w:r>
              <w:rPr>
                <w:rStyle w:val="Sautdindex"/>
                <w:rFonts w:eastAsia="" w:ascii="Calibri" w:hAnsi="Calibri" w:asciiTheme="minorHAnsi" w:eastAsiaTheme="minorEastAsia" w:hAnsiTheme="minorHAnsi"/>
                <w:lang w:eastAsia="fr-FR"/>
              </w:rPr>
              <w:tab/>
            </w:r>
            <w:r>
              <w:rPr>
                <w:rStyle w:val="Sautdindex"/>
              </w:rPr>
              <w:t>Examen de conformité au projet (VISA)</w:t>
            </w:r>
            <w:r>
              <w:rPr>
                <w:webHidden/>
              </w:rPr>
              <w:fldChar w:fldCharType="begin"/>
            </w:r>
            <w:r>
              <w:rPr>
                <w:webHidden/>
              </w:rPr>
              <w:instrText xml:space="preserve">PAGEREF _Toc215668045 \h</w:instrText>
            </w:r>
            <w:r>
              <w:rPr>
                <w:webHidden/>
              </w:rPr>
              <w:fldChar w:fldCharType="separate"/>
            </w:r>
            <w:r>
              <w:rPr>
                <w:rStyle w:val="Sautdindex"/>
                <w:vanish w:val="false"/>
              </w:rPr>
              <w:tab/>
              <w:t>7</w:t>
            </w:r>
            <w:r>
              <w:rPr>
                <w:webHidden/>
              </w:rPr>
              <w:fldChar w:fldCharType="end"/>
            </w:r>
          </w:hyperlink>
        </w:p>
        <w:p>
          <w:pPr>
            <w:pStyle w:val="Tabledesmatiresniveau2"/>
            <w:tabs>
              <w:tab w:val="clear" w:pos="708"/>
              <w:tab w:val="left" w:pos="880" w:leader="none"/>
              <w:tab w:val="right" w:pos="9488" w:leader="dot"/>
            </w:tabs>
            <w:rPr>
              <w:rFonts w:ascii="Calibri" w:hAnsi="Calibri" w:eastAsia="" w:asciiTheme="minorHAnsi" w:eastAsiaTheme="minorEastAsia" w:hAnsiTheme="minorHAnsi"/>
              <w:lang w:eastAsia="fr-FR"/>
            </w:rPr>
          </w:pPr>
          <w:hyperlink w:anchor="_Toc215668046">
            <w:r>
              <w:rPr>
                <w:webHidden/>
                <w:rStyle w:val="Sautdindex"/>
              </w:rPr>
              <w:t>5.6.</w:t>
            </w:r>
            <w:r>
              <w:rPr>
                <w:rStyle w:val="Sautdindex"/>
                <w:rFonts w:eastAsia="" w:ascii="Calibri" w:hAnsi="Calibri" w:asciiTheme="minorHAnsi" w:eastAsiaTheme="minorEastAsia" w:hAnsiTheme="minorHAnsi"/>
                <w:lang w:eastAsia="fr-FR"/>
              </w:rPr>
              <w:tab/>
            </w:r>
            <w:r>
              <w:rPr>
                <w:rStyle w:val="Sautdindex"/>
              </w:rPr>
              <w:t>Direction de l'Exécution des contrats de Travaux (DET)</w:t>
            </w:r>
            <w:r>
              <w:rPr>
                <w:webHidden/>
              </w:rPr>
              <w:fldChar w:fldCharType="begin"/>
            </w:r>
            <w:r>
              <w:rPr>
                <w:webHidden/>
              </w:rPr>
              <w:instrText xml:space="preserve">PAGEREF _Toc215668046 \h</w:instrText>
            </w:r>
            <w:r>
              <w:rPr>
                <w:webHidden/>
              </w:rPr>
              <w:fldChar w:fldCharType="separate"/>
            </w:r>
            <w:r>
              <w:rPr>
                <w:rStyle w:val="Sautdindex"/>
                <w:vanish w:val="false"/>
              </w:rPr>
              <w:tab/>
              <w:t>7</w:t>
            </w:r>
            <w:r>
              <w:rPr>
                <w:webHidden/>
              </w:rPr>
              <w:fldChar w:fldCharType="end"/>
            </w:r>
          </w:hyperlink>
        </w:p>
        <w:p>
          <w:pPr>
            <w:pStyle w:val="Tabledesmatiresniveau2"/>
            <w:tabs>
              <w:tab w:val="clear" w:pos="708"/>
              <w:tab w:val="left" w:pos="880" w:leader="none"/>
              <w:tab w:val="right" w:pos="9488" w:leader="dot"/>
            </w:tabs>
            <w:rPr>
              <w:rFonts w:ascii="Calibri" w:hAnsi="Calibri" w:eastAsia="" w:asciiTheme="minorHAnsi" w:eastAsiaTheme="minorEastAsia" w:hAnsiTheme="minorHAnsi"/>
              <w:lang w:eastAsia="fr-FR"/>
            </w:rPr>
          </w:pPr>
          <w:hyperlink w:anchor="_Toc215668047">
            <w:r>
              <w:rPr>
                <w:webHidden/>
                <w:rStyle w:val="Sautdindex"/>
              </w:rPr>
              <w:t>5.7.</w:t>
            </w:r>
            <w:r>
              <w:rPr>
                <w:rStyle w:val="Sautdindex"/>
                <w:rFonts w:eastAsia="" w:ascii="Calibri" w:hAnsi="Calibri" w:asciiTheme="minorHAnsi" w:eastAsiaTheme="minorEastAsia" w:hAnsiTheme="minorHAnsi"/>
                <w:lang w:eastAsia="fr-FR"/>
              </w:rPr>
              <w:tab/>
            </w:r>
            <w:r>
              <w:rPr>
                <w:rStyle w:val="Sautdindex"/>
              </w:rPr>
              <w:t>Assistance aux Opérations de Réception (AOR)</w:t>
            </w:r>
            <w:r>
              <w:rPr>
                <w:webHidden/>
              </w:rPr>
              <w:fldChar w:fldCharType="begin"/>
            </w:r>
            <w:r>
              <w:rPr>
                <w:webHidden/>
              </w:rPr>
              <w:instrText xml:space="preserve">PAGEREF _Toc215668047 \h</w:instrText>
            </w:r>
            <w:r>
              <w:rPr>
                <w:webHidden/>
              </w:rPr>
              <w:fldChar w:fldCharType="separate"/>
            </w:r>
            <w:r>
              <w:rPr>
                <w:rStyle w:val="Sautdindex"/>
                <w:vanish w:val="false"/>
              </w:rPr>
              <w:tab/>
              <w:t>7</w:t>
            </w:r>
            <w:r>
              <w:rPr>
                <w:webHidden/>
              </w:rPr>
              <w:fldChar w:fldCharType="end"/>
            </w:r>
          </w:hyperlink>
        </w:p>
        <w:p>
          <w:pPr>
            <w:pStyle w:val="Tabledesmatiresniveau1"/>
            <w:tabs>
              <w:tab w:val="clear" w:pos="708"/>
              <w:tab w:val="left" w:pos="440" w:leader="none"/>
              <w:tab w:val="right" w:pos="9488" w:leader="dot"/>
            </w:tabs>
            <w:rPr>
              <w:rFonts w:ascii="Calibri" w:hAnsi="Calibri" w:eastAsia="" w:asciiTheme="minorHAnsi" w:eastAsiaTheme="minorEastAsia" w:hAnsiTheme="minorHAnsi"/>
              <w:lang w:eastAsia="fr-FR"/>
            </w:rPr>
          </w:pPr>
          <w:hyperlink w:anchor="_Toc215668048">
            <w:r>
              <w:rPr>
                <w:webHidden/>
                <w:rStyle w:val="Sautdindex"/>
              </w:rPr>
              <w:t>6.</w:t>
            </w:r>
            <w:r>
              <w:rPr>
                <w:rStyle w:val="Sautdindex"/>
                <w:rFonts w:eastAsia="" w:ascii="Calibri" w:hAnsi="Calibri" w:asciiTheme="minorHAnsi" w:eastAsiaTheme="minorEastAsia" w:hAnsiTheme="minorHAnsi"/>
                <w:lang w:eastAsia="fr-FR"/>
              </w:rPr>
              <w:tab/>
            </w:r>
            <w:r>
              <w:rPr>
                <w:rStyle w:val="Sautdindex"/>
              </w:rPr>
              <w:t>LA COMPOSITION DE L’EQUIPE DE MAITRISE D’ŒUVRE</w:t>
            </w:r>
            <w:r>
              <w:rPr>
                <w:webHidden/>
              </w:rPr>
              <w:fldChar w:fldCharType="begin"/>
            </w:r>
            <w:r>
              <w:rPr>
                <w:webHidden/>
              </w:rPr>
              <w:instrText xml:space="preserve">PAGEREF _Toc215668048 \h</w:instrText>
            </w:r>
            <w:r>
              <w:rPr>
                <w:webHidden/>
              </w:rPr>
              <w:fldChar w:fldCharType="separate"/>
            </w:r>
            <w:r>
              <w:rPr>
                <w:rStyle w:val="Sautdindex"/>
                <w:vanish w:val="false"/>
              </w:rPr>
              <w:tab/>
              <w:t>8</w:t>
            </w:r>
            <w:r>
              <w:rPr>
                <w:webHidden/>
              </w:rPr>
              <w:fldChar w:fldCharType="end"/>
            </w:r>
          </w:hyperlink>
        </w:p>
        <w:p>
          <w:pPr>
            <w:pStyle w:val="Tabledesmatiresniveau1"/>
            <w:tabs>
              <w:tab w:val="clear" w:pos="708"/>
              <w:tab w:val="left" w:pos="440" w:leader="none"/>
              <w:tab w:val="right" w:pos="9488" w:leader="dot"/>
            </w:tabs>
            <w:rPr>
              <w:rFonts w:ascii="Calibri" w:hAnsi="Calibri" w:eastAsia="" w:asciiTheme="minorHAnsi" w:eastAsiaTheme="minorEastAsia" w:hAnsiTheme="minorHAnsi"/>
              <w:lang w:eastAsia="fr-FR"/>
            </w:rPr>
          </w:pPr>
          <w:hyperlink w:anchor="_Toc215668049">
            <w:r>
              <w:rPr>
                <w:webHidden/>
                <w:rStyle w:val="Sautdindex"/>
              </w:rPr>
              <w:t>7.</w:t>
            </w:r>
            <w:r>
              <w:rPr>
                <w:rStyle w:val="Sautdindex"/>
                <w:rFonts w:eastAsia="" w:ascii="Calibri" w:hAnsi="Calibri" w:asciiTheme="minorHAnsi" w:eastAsiaTheme="minorEastAsia" w:hAnsiTheme="minorHAnsi"/>
                <w:lang w:eastAsia="fr-FR"/>
              </w:rPr>
              <w:tab/>
            </w:r>
            <w:r>
              <w:rPr>
                <w:rStyle w:val="Sautdindex"/>
              </w:rPr>
              <w:t>LISTE DES ANNEXES AU PRESENT CAHIER DES CHARGES</w:t>
            </w:r>
            <w:r>
              <w:rPr>
                <w:webHidden/>
              </w:rPr>
              <w:fldChar w:fldCharType="begin"/>
            </w:r>
            <w:r>
              <w:rPr>
                <w:webHidden/>
              </w:rPr>
              <w:instrText xml:space="preserve">PAGEREF _Toc215668049 \h</w:instrText>
            </w:r>
            <w:r>
              <w:rPr>
                <w:webHidden/>
              </w:rPr>
              <w:fldChar w:fldCharType="separate"/>
            </w:r>
            <w:r>
              <w:rPr>
                <w:rStyle w:val="Sautdindex"/>
                <w:vanish w:val="false"/>
              </w:rPr>
              <w:tab/>
              <w:t>8</w:t>
            </w:r>
            <w:r>
              <w:rPr>
                <w:webHidden/>
              </w:rPr>
              <w:fldChar w:fldCharType="end"/>
            </w:r>
          </w:hyperlink>
        </w:p>
        <w:p>
          <w:pPr>
            <w:pStyle w:val="Normal"/>
            <w:rPr>
              <w:b/>
              <w:bCs/>
              <w:sz w:val="24"/>
              <w:szCs w:val="24"/>
              <w:highlight w:val="yellow"/>
            </w:rPr>
          </w:pPr>
          <w:r>
            <w:rPr>
              <w:b/>
              <w:bCs/>
              <w:sz w:val="24"/>
              <w:szCs w:val="24"/>
              <w:highlight w:val="yellow"/>
            </w:rPr>
          </w:r>
          <w:r>
            <w:rPr>
              <w:sz w:val="24"/>
              <w:b/>
              <w:szCs w:val="24"/>
              <w:bCs/>
              <w:highlight w:val="yellow"/>
            </w:rPr>
            <w:fldChar w:fldCharType="end"/>
          </w:r>
        </w:p>
      </w:sdtContent>
    </w:sdt>
    <w:p>
      <w:pPr>
        <w:pStyle w:val="Normal"/>
        <w:rPr>
          <w:b/>
          <w:bCs/>
          <w:sz w:val="24"/>
          <w:szCs w:val="24"/>
          <w:highlight w:val="yellow"/>
        </w:rPr>
      </w:pPr>
      <w:r>
        <w:rPr>
          <w:b/>
          <w:bCs/>
          <w:sz w:val="24"/>
          <w:szCs w:val="24"/>
          <w:highlight w:val="yellow"/>
        </w:rPr>
      </w:r>
    </w:p>
    <w:p>
      <w:pPr>
        <w:pStyle w:val="Normal"/>
        <w:rPr>
          <w:b/>
          <w:bCs/>
          <w:sz w:val="24"/>
          <w:szCs w:val="24"/>
          <w:highlight w:val="yellow"/>
        </w:rPr>
      </w:pPr>
      <w:r>
        <w:rPr>
          <w:b/>
          <w:bCs/>
          <w:sz w:val="24"/>
          <w:szCs w:val="24"/>
          <w:highlight w:val="yellow"/>
        </w:rPr>
      </w:r>
    </w:p>
    <w:p>
      <w:pPr>
        <w:pStyle w:val="Normal"/>
        <w:rPr>
          <w:b/>
          <w:bCs/>
          <w:sz w:val="24"/>
          <w:szCs w:val="24"/>
          <w:highlight w:val="yellow"/>
        </w:rPr>
      </w:pPr>
      <w:r>
        <w:rPr>
          <w:b/>
          <w:bCs/>
          <w:sz w:val="24"/>
          <w:szCs w:val="24"/>
          <w:highlight w:val="yellow"/>
        </w:rPr>
      </w:r>
    </w:p>
    <w:p>
      <w:pPr>
        <w:pStyle w:val="Normal"/>
        <w:rPr>
          <w:b/>
          <w:bCs/>
          <w:sz w:val="24"/>
          <w:szCs w:val="24"/>
          <w:highlight w:val="yellow"/>
        </w:rPr>
      </w:pPr>
      <w:r>
        <w:rPr>
          <w:b/>
          <w:bCs/>
          <w:sz w:val="24"/>
          <w:szCs w:val="24"/>
          <w:highlight w:val="yellow"/>
        </w:rPr>
      </w:r>
    </w:p>
    <w:p>
      <w:pPr>
        <w:pStyle w:val="Normal"/>
        <w:rPr>
          <w:b/>
          <w:bCs/>
          <w:sz w:val="24"/>
          <w:szCs w:val="24"/>
          <w:highlight w:val="yellow"/>
        </w:rPr>
      </w:pPr>
      <w:r>
        <w:rPr>
          <w:b/>
          <w:bCs/>
          <w:sz w:val="24"/>
          <w:szCs w:val="24"/>
          <w:highlight w:val="yellow"/>
        </w:rPr>
      </w:r>
    </w:p>
    <w:p>
      <w:pPr>
        <w:pStyle w:val="Normal"/>
        <w:rPr>
          <w:sz w:val="24"/>
          <w:szCs w:val="24"/>
          <w:highlight w:val="yellow"/>
        </w:rPr>
      </w:pPr>
      <w:r>
        <w:rPr>
          <w:sz w:val="24"/>
          <w:szCs w:val="24"/>
          <w:highlight w:val="yellow"/>
        </w:rPr>
      </w:r>
    </w:p>
    <w:p>
      <w:pPr>
        <w:pStyle w:val="Normal"/>
        <w:rPr>
          <w:sz w:val="24"/>
          <w:szCs w:val="24"/>
          <w:highlight w:val="yellow"/>
        </w:rPr>
      </w:pPr>
      <w:r>
        <w:rPr>
          <w:sz w:val="24"/>
          <w:szCs w:val="24"/>
          <w:highlight w:val="yellow"/>
        </w:rPr>
      </w:r>
    </w:p>
    <w:p>
      <w:pPr>
        <w:pStyle w:val="Normal"/>
        <w:rPr>
          <w:sz w:val="24"/>
          <w:szCs w:val="24"/>
          <w:highlight w:val="yellow"/>
        </w:rPr>
      </w:pPr>
      <w:r>
        <w:rPr>
          <w:sz w:val="24"/>
          <w:szCs w:val="24"/>
          <w:highlight w:val="yellow"/>
        </w:rPr>
      </w:r>
    </w:p>
    <w:p>
      <w:pPr>
        <w:pStyle w:val="Normal"/>
        <w:rPr>
          <w:sz w:val="24"/>
          <w:szCs w:val="24"/>
          <w:highlight w:val="yellow"/>
        </w:rPr>
      </w:pPr>
      <w:r>
        <w:rPr>
          <w:sz w:val="24"/>
          <w:szCs w:val="24"/>
          <w:highlight w:val="yellow"/>
        </w:rPr>
      </w:r>
    </w:p>
    <w:p>
      <w:pPr>
        <w:pStyle w:val="Titre1"/>
        <w:numPr>
          <w:ilvl w:val="0"/>
          <w:numId w:val="1"/>
        </w:numPr>
        <w:rPr/>
      </w:pPr>
      <w:bookmarkStart w:id="2" w:name="_Toc215668026"/>
      <w:r>
        <w:rPr/>
        <w:t>OBJET DE L’OPERATION</w:t>
      </w:r>
      <w:bookmarkEnd w:id="2"/>
    </w:p>
    <w:p>
      <w:pPr>
        <w:pStyle w:val="Titre2"/>
        <w:numPr>
          <w:ilvl w:val="1"/>
          <w:numId w:val="1"/>
        </w:numPr>
        <w:rPr/>
      </w:pPr>
      <w:bookmarkStart w:id="3" w:name="_Toc215668027"/>
      <w:r>
        <w:rPr/>
        <w:t>Le contexte de l’opération</w:t>
      </w:r>
      <w:bookmarkEnd w:id="3"/>
    </w:p>
    <w:p>
      <w:pPr>
        <w:pStyle w:val="Normal"/>
        <w:jc w:val="both"/>
        <w:rPr/>
      </w:pPr>
      <w:r>
        <w:rPr/>
        <w:t xml:space="preserve">L’EPA Masse des douanes est propriétaire d’un immeuble avec logements réservés aux fonctionnaires des douanes à Port de Bouc. </w:t>
      </w:r>
    </w:p>
    <w:p>
      <w:pPr>
        <w:pStyle w:val="Normal"/>
        <w:jc w:val="both"/>
        <w:rPr/>
      </w:pPr>
      <w:r>
        <w:rPr/>
        <w:t>Cet immeuble est composé de 3 bâtiments accolés comportant chacun une entrée distincte. Le sous-sol du bâtiment est accessible sur l’intégralité du linéaire de l’immeuble</w:t>
      </w:r>
      <w:r>
        <mc:AlternateContent>
          <mc:Choice Requires="wps">
            <w:drawing>
              <wp:anchor behindDoc="0" distT="0" distB="3810" distL="0" distR="3810" simplePos="0" locked="0" layoutInCell="0" allowOverlap="1" relativeHeight="10" wp14:anchorId="699A84B0">
                <wp:simplePos x="0" y="0"/>
                <wp:positionH relativeFrom="column">
                  <wp:posOffset>6645275</wp:posOffset>
                </wp:positionH>
                <wp:positionV relativeFrom="paragraph">
                  <wp:posOffset>1348105</wp:posOffset>
                </wp:positionV>
                <wp:extent cx="1587500" cy="281940"/>
                <wp:effectExtent l="0" t="0" r="0" b="0"/>
                <wp:wrapNone/>
                <wp:docPr id="2" name="Zone de texte 48"/>
                <a:graphic xmlns:a="http://schemas.openxmlformats.org/drawingml/2006/main">
                  <a:graphicData uri="http://schemas.microsoft.com/office/word/2010/wordprocessingShape">
                    <wps:wsp>
                      <wps:cNvSpPr/>
                      <wps:spPr>
                        <a:xfrm>
                          <a:off x="0" y="0"/>
                          <a:ext cx="1587600" cy="281880"/>
                        </a:xfrm>
                        <a:prstGeom prst="rect">
                          <a:avLst/>
                        </a:prstGeom>
                        <a:solidFill>
                          <a:schemeClr val="lt1"/>
                        </a:solidFill>
                        <a:ln w="6350">
                          <a:noFill/>
                        </a:ln>
                      </wps:spPr>
                      <wps:style>
                        <a:lnRef idx="0"/>
                        <a:fillRef idx="0"/>
                        <a:effectRef idx="0"/>
                        <a:fontRef idx="minor"/>
                      </wps:style>
                      <wps:txbx>
                        <w:txbxContent>
                          <w:p>
                            <w:pPr>
                              <w:pStyle w:val="Contenudecadre"/>
                              <w:spacing w:before="0" w:after="160"/>
                              <w:rPr/>
                            </w:pPr>
                            <w:r>
                              <w:rPr/>
                              <w:t>Périmètre de l’opération</w:t>
                            </w:r>
                          </w:p>
                        </w:txbxContent>
                      </wps:txbx>
                      <wps:bodyPr anchor="t">
                        <a:prstTxWarp prst="textNoShape"/>
                        <a:noAutofit/>
                      </wps:bodyPr>
                    </wps:wsp>
                  </a:graphicData>
                </a:graphic>
              </wp:anchor>
            </w:drawing>
          </mc:Choice>
          <mc:Fallback>
            <w:pict>
              <v:rect id="shape_0" ID="Zone de texte 48" path="m0,0l-2147483645,0l-2147483645,-2147483646l0,-2147483646xe" fillcolor="white" stroked="f" o:allowincell="f" style="position:absolute;margin-left:523.25pt;margin-top:106.15pt;width:124.95pt;height:22.15pt;mso-wrap-style:none;v-text-anchor:top" wp14:anchorId="699A84B0">
                <v:fill o:detectmouseclick="t" type="solid" color2="black"/>
                <v:stroke color="#3465a4" weight="6480" joinstyle="round" endcap="flat"/>
                <v:textbox>
                  <w:txbxContent>
                    <w:p>
                      <w:pPr>
                        <w:pStyle w:val="Contenudecadre"/>
                        <w:spacing w:before="0" w:after="160"/>
                        <w:rPr/>
                      </w:pPr>
                      <w:r>
                        <w:rPr/>
                        <w:t>Périmètre de l’opération</w:t>
                      </w:r>
                    </w:p>
                  </w:txbxContent>
                </v:textbox>
                <w10:wrap type="none"/>
              </v:rect>
            </w:pict>
          </mc:Fallback>
        </mc:AlternateContent>
      </w:r>
      <w:r>
        <w:rPr/>
        <w:t>.</w:t>
      </w:r>
    </w:p>
    <w:p>
      <w:pPr>
        <w:pStyle w:val="Normal"/>
        <w:jc w:val="both"/>
        <w:rPr/>
      </w:pPr>
      <w:r>
        <w:rPr/>
        <mc:AlternateContent>
          <mc:Choice Requires="wps">
            <w:drawing>
              <wp:anchor behindDoc="0" distT="38100" distB="30480" distL="38100" distR="38100" simplePos="0" locked="0" layoutInCell="0" allowOverlap="1" relativeHeight="12" wp14:anchorId="2F2AD0C3">
                <wp:simplePos x="0" y="0"/>
                <wp:positionH relativeFrom="column">
                  <wp:posOffset>1805305</wp:posOffset>
                </wp:positionH>
                <wp:positionV relativeFrom="paragraph">
                  <wp:posOffset>1212850</wp:posOffset>
                </wp:positionV>
                <wp:extent cx="800100" cy="1950720"/>
                <wp:effectExtent l="15875" t="15240" r="16510" b="17145"/>
                <wp:wrapNone/>
                <wp:docPr id="4" name="Forme libre : forme 9"/>
                <a:graphic xmlns:a="http://schemas.openxmlformats.org/drawingml/2006/main">
                  <a:graphicData uri="http://schemas.microsoft.com/office/word/2010/wordprocessingShape">
                    <wps:wsp>
                      <wps:cNvSpPr/>
                      <wps:spPr>
                        <a:xfrm>
                          <a:off x="0" y="0"/>
                          <a:ext cx="800280" cy="1950840"/>
                        </a:xfrm>
                        <a:custGeom>
                          <a:avLst/>
                          <a:gdLst>
                            <a:gd name="textAreaLeft" fmla="*/ 0 w 453600"/>
                            <a:gd name="textAreaRight" fmla="*/ 453960 w 453600"/>
                            <a:gd name="textAreaTop" fmla="*/ 0 h 1105920"/>
                            <a:gd name="textAreaBottom" fmla="*/ 1106280 h 1105920"/>
                          </a:gdLst>
                          <a:ahLst/>
                          <a:rect l="textAreaLeft" t="textAreaTop" r="textAreaRight" b="textAreaBottom"/>
                          <a:pathLst>
                            <a:path w="800100" h="1950720">
                              <a:moveTo>
                                <a:pt x="198120" y="0"/>
                              </a:moveTo>
                              <a:lnTo>
                                <a:pt x="800100" y="30480"/>
                              </a:lnTo>
                              <a:lnTo>
                                <a:pt x="640080" y="1950720"/>
                              </a:lnTo>
                              <a:lnTo>
                                <a:pt x="0" y="1859280"/>
                              </a:lnTo>
                              <a:lnTo>
                                <a:pt x="198120" y="0"/>
                              </a:lnTo>
                              <a:close/>
                            </a:path>
                          </a:pathLst>
                        </a:custGeom>
                        <a:noFill/>
                        <a:ln w="28575">
                          <a:solidFill>
                            <a:srgbClr val="325490"/>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57150" distB="106680" distL="19050" distR="0" simplePos="0" locked="0" layoutInCell="0" allowOverlap="1" relativeHeight="13" wp14:anchorId="4A36CB38">
                <wp:simplePos x="0" y="0"/>
                <wp:positionH relativeFrom="column">
                  <wp:posOffset>-534035</wp:posOffset>
                </wp:positionH>
                <wp:positionV relativeFrom="paragraph">
                  <wp:posOffset>2119630</wp:posOffset>
                </wp:positionV>
                <wp:extent cx="2697480" cy="45720"/>
                <wp:effectExtent l="635" t="14605" r="635" b="41910"/>
                <wp:wrapNone/>
                <wp:docPr id="5" name="Connecteur droit avec flèche 11"/>
                <a:graphic xmlns:a="http://schemas.openxmlformats.org/drawingml/2006/main">
                  <a:graphicData uri="http://schemas.microsoft.com/office/word/2010/wordprocessingShape">
                    <wps:wsp>
                      <wps:cNvSpPr/>
                      <wps:spPr>
                        <a:xfrm>
                          <a:off x="0" y="0"/>
                          <a:ext cx="2697480" cy="45720"/>
                        </a:xfrm>
                        <a:prstGeom prst="straightConnector1">
                          <a:avLst/>
                        </a:prstGeom>
                        <a:noFill/>
                        <a:ln w="28575">
                          <a:solidFill>
                            <a:srgbClr val="4472c4"/>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type id="_x0000_t32" coordsize="21600,21600" o:spt="32" path="m,l21600,21600nfe">
                <v:stroke joinstyle="miter"/>
                <v:path gradientshapeok="t" o:connecttype="rect" textboxrect="0,0,21600,21600"/>
              </v:shapetype>
              <v:shape id="shape_0" ID="Connecteur droit avec flèche 11" path="m0,0l-2147483648,-2147483647e" stroked="t" o:allowincell="f" style="position:absolute;margin-left:-42.05pt;margin-top:166.9pt;width:212.35pt;height:3.55pt;mso-wrap-style:none;v-text-anchor:middle" wp14:anchorId="4A36CB38" type="_x0000_t32">
                <v:fill o:detectmouseclick="t" on="false"/>
                <v:stroke color="#4472c4" weight="28440" endarrow="block" endarrowwidth="medium" endarrowlength="medium" joinstyle="miter" endcap="flat"/>
                <w10:wrap type="none"/>
              </v:shape>
            </w:pict>
          </mc:Fallback>
        </mc:AlternateContent>
        <mc:AlternateContent>
          <mc:Choice Requires="wps">
            <w:drawing>
              <wp:anchor behindDoc="0" distT="0" distB="15240" distL="0" distR="16510" simplePos="0" locked="0" layoutInCell="0" allowOverlap="1" relativeHeight="14" wp14:anchorId="5C8F735F">
                <wp:simplePos x="0" y="0"/>
                <wp:positionH relativeFrom="column">
                  <wp:posOffset>-808355</wp:posOffset>
                </wp:positionH>
                <wp:positionV relativeFrom="paragraph">
                  <wp:posOffset>1837690</wp:posOffset>
                </wp:positionV>
                <wp:extent cx="914400" cy="251460"/>
                <wp:effectExtent l="3175" t="3175" r="3175" b="3175"/>
                <wp:wrapNone/>
                <wp:docPr id="6" name="Zone de texte 12"/>
                <a:graphic xmlns:a="http://schemas.openxmlformats.org/drawingml/2006/main">
                  <a:graphicData uri="http://schemas.microsoft.com/office/word/2010/wordprocessingShape">
                    <wps:wsp>
                      <wps:cNvSpPr/>
                      <wps:spPr>
                        <a:xfrm>
                          <a:off x="0" y="0"/>
                          <a:ext cx="914400" cy="251640"/>
                        </a:xfrm>
                        <a:prstGeom prst="rect">
                          <a:avLst/>
                        </a:prstGeom>
                        <a:solidFill>
                          <a:schemeClr val="lt1"/>
                        </a:solidFill>
                        <a:ln w="6350">
                          <a:solidFill>
                            <a:srgbClr val="000000"/>
                          </a:solidFill>
                          <a:round/>
                        </a:ln>
                      </wps:spPr>
                      <wps:style>
                        <a:lnRef idx="0"/>
                        <a:fillRef idx="0"/>
                        <a:effectRef idx="0"/>
                        <a:fontRef idx="minor"/>
                      </wps:style>
                      <wps:txbx>
                        <w:txbxContent>
                          <w:p>
                            <w:pPr>
                              <w:pStyle w:val="Contenudecadre"/>
                              <w:spacing w:before="0" w:after="160"/>
                              <w:rPr/>
                            </w:pPr>
                            <w:r>
                              <w:rPr/>
                              <w:t xml:space="preserve">Immeuble </w:t>
                            </w:r>
                          </w:p>
                        </w:txbxContent>
                      </wps:txbx>
                      <wps:bodyPr anchor="t">
                        <a:prstTxWarp prst="textNoShape"/>
                        <a:noAutofit/>
                      </wps:bodyPr>
                    </wps:wsp>
                  </a:graphicData>
                </a:graphic>
              </wp:anchor>
            </w:drawing>
          </mc:Choice>
          <mc:Fallback>
            <w:pict>
              <v:rect id="shape_0" ID="Zone de texte 12" path="m0,0l-2147483645,0l-2147483645,-2147483646l0,-2147483646xe" fillcolor="white" stroked="t" o:allowincell="f" style="position:absolute;margin-left:-63.65pt;margin-top:144.7pt;width:71.95pt;height:19.75pt;mso-wrap-style:none;v-text-anchor:top" wp14:anchorId="5C8F735F">
                <v:fill o:detectmouseclick="t" type="solid" color2="black"/>
                <v:stroke color="black" weight="6480" joinstyle="round" endcap="flat"/>
                <v:textbox>
                  <w:txbxContent>
                    <w:p>
                      <w:pPr>
                        <w:pStyle w:val="Contenudecadre"/>
                        <w:spacing w:before="0" w:after="160"/>
                        <w:rPr/>
                      </w:pPr>
                      <w:r>
                        <w:rPr/>
                        <w:t xml:space="preserve">Immeuble </w:t>
                      </w:r>
                    </w:p>
                  </w:txbxContent>
                </v:textbox>
                <w10:wrap type="none"/>
              </v:rect>
            </w:pict>
          </mc:Fallback>
        </mc:AlternateContent>
        <w:drawing>
          <wp:inline distT="0" distB="0" distL="0" distR="0">
            <wp:extent cx="6031230" cy="4608195"/>
            <wp:effectExtent l="0" t="0" r="0" b="0"/>
            <wp:docPr id="8" name="Image 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2" descr=""/>
                    <pic:cNvPicPr>
                      <a:picLocks noChangeAspect="1" noChangeArrowheads="1"/>
                    </pic:cNvPicPr>
                  </pic:nvPicPr>
                  <pic:blipFill>
                    <a:blip r:embed="rId3"/>
                    <a:stretch>
                      <a:fillRect/>
                    </a:stretch>
                  </pic:blipFill>
                  <pic:spPr bwMode="auto">
                    <a:xfrm>
                      <a:off x="0" y="0"/>
                      <a:ext cx="6031230" cy="4608195"/>
                    </a:xfrm>
                    <a:prstGeom prst="rect">
                      <a:avLst/>
                    </a:prstGeom>
                    <a:ln w="28575">
                      <a:solidFill>
                        <a:srgbClr val="000000"/>
                      </a:solidFill>
                    </a:ln>
                  </pic:spPr>
                </pic:pic>
              </a:graphicData>
            </a:graphic>
          </wp:inline>
        </w:drawing>
      </w:r>
    </w:p>
    <w:p>
      <w:pPr>
        <w:pStyle w:val="Normal"/>
        <w:jc w:val="center"/>
        <w:rPr>
          <w:b/>
          <w:i/>
          <w:i/>
          <w:sz w:val="18"/>
          <w:szCs w:val="18"/>
        </w:rPr>
      </w:pPr>
      <w:bookmarkStart w:id="4" w:name="_Hlk134801304"/>
      <w:bookmarkEnd w:id="4"/>
      <w:r>
        <w:rPr>
          <w:b/>
          <w:i/>
          <w:sz w:val="18"/>
          <w:szCs w:val="18"/>
        </w:rPr>
        <w:t xml:space="preserve">Vue aérienne rapprochée du site. Extrait </w:t>
      </w:r>
      <w:r>
        <w:rPr>
          <w:rFonts w:cs="Arial"/>
          <w:b/>
          <w:i/>
          <w:sz w:val="18"/>
          <w:szCs w:val="18"/>
        </w:rPr>
        <w:t>©</w:t>
      </w:r>
      <w:r>
        <w:rPr>
          <w:b/>
          <w:i/>
          <w:sz w:val="18"/>
          <w:szCs w:val="18"/>
        </w:rPr>
        <w:t>earth.google 2023</w:t>
      </w:r>
    </w:p>
    <w:p>
      <w:pPr>
        <w:pStyle w:val="Normal"/>
        <w:jc w:val="center"/>
        <w:rPr>
          <w:b/>
          <w:i/>
          <w:i/>
          <w:sz w:val="18"/>
          <w:szCs w:val="18"/>
        </w:rPr>
      </w:pPr>
      <w:r>
        <w:rPr>
          <w:b/>
          <w:i/>
          <w:sz w:val="18"/>
          <w:szCs w:val="18"/>
        </w:rPr>
      </w:r>
      <w:bookmarkStart w:id="5" w:name="_Hlk134801304"/>
      <w:bookmarkStart w:id="6" w:name="_Hlk134801304"/>
      <w:bookmarkEnd w:id="6"/>
    </w:p>
    <w:p>
      <w:pPr>
        <w:pStyle w:val="Normal"/>
        <w:jc w:val="both"/>
        <w:rPr>
          <w:rFonts w:cs="Arial"/>
        </w:rPr>
      </w:pPr>
      <w:r>
        <w:rPr>
          <w:rFonts w:cs="Arial"/>
        </w:rPr>
        <w:t xml:space="preserve">L’opération consiste à rénover les cuisines, salles de bains et WC de 18 logements à la suite de travaux en cours actuellement de changement des colonnes d’eau potable dans les cages d’escaliers et les appartements. </w:t>
      </w:r>
    </w:p>
    <w:p>
      <w:pPr>
        <w:pStyle w:val="Titre2"/>
        <w:numPr>
          <w:ilvl w:val="1"/>
          <w:numId w:val="1"/>
        </w:numPr>
        <w:rPr/>
      </w:pPr>
      <w:bookmarkStart w:id="7" w:name="_Toc215668028"/>
      <w:r>
        <w:rPr/>
        <w:t>Les intervenants de l’opération</w:t>
      </w:r>
      <w:bookmarkEnd w:id="7"/>
    </w:p>
    <w:p>
      <w:pPr>
        <w:pStyle w:val="Normal"/>
        <w:rPr>
          <w:rStyle w:val="Accentuation"/>
          <w:rFonts w:eastAsia="Times New Roman" w:cs="Arial"/>
          <w:i w:val="false"/>
          <w:i w:val="false"/>
          <w:color w:val="000000"/>
        </w:rPr>
      </w:pPr>
      <w:r>
        <w:rPr>
          <w:rStyle w:val="Accentuation"/>
          <w:rFonts w:eastAsia="Times New Roman" w:cs="Arial"/>
          <w:i w:val="false"/>
          <w:color w:val="000000"/>
          <w:u w:val="single"/>
        </w:rPr>
        <w:t>Désignation du maître d’ouvrage</w:t>
      </w:r>
      <w:r>
        <w:rPr>
          <w:rFonts w:eastAsia="Times New Roman" w:cs="Arial"/>
          <w:i/>
          <w:color w:val="000000"/>
          <w:u w:val="single"/>
        </w:rPr>
        <w:br/>
      </w:r>
      <w:r>
        <w:rPr>
          <w:rStyle w:val="Accentuation"/>
          <w:rFonts w:eastAsia="Times New Roman" w:cs="Arial"/>
          <w:i w:val="false"/>
          <w:color w:val="000000"/>
        </w:rPr>
        <w:t>Nom de l'organisme :</w:t>
      </w:r>
      <w:r>
        <w:rPr>
          <w:rFonts w:eastAsia="Times New Roman" w:cs="Arial"/>
          <w:i/>
          <w:color w:val="000000"/>
        </w:rPr>
        <w:br/>
      </w:r>
      <w:r>
        <w:rPr>
          <w:rStyle w:val="Accentuation"/>
          <w:rFonts w:eastAsia="Times New Roman" w:cs="Arial"/>
          <w:i w:val="false"/>
          <w:color w:val="000000"/>
        </w:rPr>
        <w:t xml:space="preserve">Var Aménagement Développement, </w:t>
      </w:r>
      <w:r>
        <w:rPr>
          <w:rStyle w:val="Strong"/>
          <w:rFonts w:eastAsia="Times New Roman"/>
          <w:i/>
          <w:iCs/>
          <w:color w:val="000000"/>
        </w:rPr>
        <w:t>agissant au nom et pour le compte de l’EPA de la Masse des Douanes</w:t>
      </w:r>
      <w:r>
        <w:rPr>
          <w:rFonts w:eastAsia="Times New Roman" w:cs="Arial"/>
          <w:i/>
          <w:color w:val="000000"/>
        </w:rPr>
        <w:br/>
      </w:r>
      <w:r>
        <w:rPr>
          <w:rStyle w:val="Accentuation"/>
          <w:rFonts w:eastAsia="Times New Roman" w:cs="Arial"/>
          <w:i w:val="false"/>
          <w:color w:val="000000"/>
        </w:rPr>
        <w:t>Tour l’Albatros</w:t>
      </w:r>
      <w:r>
        <w:rPr>
          <w:rFonts w:eastAsia="Times New Roman" w:cs="Arial"/>
          <w:i/>
          <w:color w:val="000000"/>
        </w:rPr>
        <w:br/>
      </w:r>
      <w:r>
        <w:rPr>
          <w:rStyle w:val="Accentuation"/>
          <w:rFonts w:eastAsia="Times New Roman" w:cs="Arial"/>
          <w:i w:val="false"/>
          <w:color w:val="000000"/>
        </w:rPr>
        <w:t>109 av. d’Entrecasteaux BP 1406</w:t>
      </w:r>
      <w:r>
        <w:rPr>
          <w:rFonts w:eastAsia="Times New Roman" w:cs="Arial"/>
          <w:i/>
          <w:color w:val="000000"/>
        </w:rPr>
        <w:br/>
      </w:r>
      <w:r>
        <w:rPr>
          <w:rStyle w:val="Accentuation"/>
          <w:rFonts w:eastAsia="Times New Roman" w:cs="Arial"/>
          <w:i w:val="false"/>
          <w:color w:val="000000"/>
        </w:rPr>
        <w:t>83056 TOULON CEDEX</w:t>
      </w:r>
    </w:p>
    <w:p>
      <w:pPr>
        <w:pStyle w:val="Normal"/>
        <w:rPr>
          <w:rFonts w:eastAsia="Times New Roman" w:cs="Arial"/>
          <w:i/>
          <w:i/>
          <w:color w:val="000000"/>
        </w:rPr>
      </w:pPr>
      <w:r>
        <w:rPr>
          <w:rFonts w:eastAsia="Times New Roman" w:cs="Arial"/>
          <w:i/>
          <w:color w:val="000000"/>
        </w:rPr>
      </w:r>
    </w:p>
    <w:p>
      <w:pPr>
        <w:pStyle w:val="Titre2"/>
        <w:numPr>
          <w:ilvl w:val="1"/>
          <w:numId w:val="1"/>
        </w:numPr>
        <w:rPr/>
      </w:pPr>
      <w:bookmarkStart w:id="8" w:name="_Toc215668029"/>
      <w:r>
        <w:rPr/>
        <w:t>Situation cadastrale</w:t>
      </w:r>
      <w:bookmarkEnd w:id="8"/>
    </w:p>
    <w:p>
      <w:pPr>
        <w:pStyle w:val="Normal"/>
        <w:jc w:val="both"/>
        <w:rPr/>
      </w:pPr>
      <w:r>
        <w:rPr/>
        <w:t>L’emprise de la parcelle concernée par l’opération est la AA60 d’une surface de 2 425 m² environ.</w:t>
      </w:r>
    </w:p>
    <w:p>
      <w:pPr>
        <w:pStyle w:val="Normal"/>
        <w:jc w:val="center"/>
        <w:rPr>
          <w:highlight w:val="yellow"/>
        </w:rPr>
      </w:pPr>
      <w:r>
        <w:rPr/>
        <w:drawing>
          <wp:inline distT="0" distB="0" distL="0" distR="0">
            <wp:extent cx="5888355" cy="4320540"/>
            <wp:effectExtent l="0" t="0" r="0" b="0"/>
            <wp:docPr id="9" name="Image 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3" descr=""/>
                    <pic:cNvPicPr>
                      <a:picLocks noChangeAspect="1" noChangeArrowheads="1"/>
                    </pic:cNvPicPr>
                  </pic:nvPicPr>
                  <pic:blipFill>
                    <a:blip r:embed="rId4"/>
                    <a:stretch>
                      <a:fillRect/>
                    </a:stretch>
                  </pic:blipFill>
                  <pic:spPr bwMode="auto">
                    <a:xfrm>
                      <a:off x="0" y="0"/>
                      <a:ext cx="5888355" cy="4320540"/>
                    </a:xfrm>
                    <a:prstGeom prst="rect">
                      <a:avLst/>
                    </a:prstGeom>
                    <a:ln w="28575">
                      <a:solidFill>
                        <a:srgbClr val="000000"/>
                      </a:solidFill>
                    </a:ln>
                  </pic:spPr>
                </pic:pic>
              </a:graphicData>
            </a:graphic>
          </wp:inline>
        </w:drawing>
      </w:r>
    </w:p>
    <w:p>
      <w:pPr>
        <w:pStyle w:val="Normal"/>
        <w:jc w:val="center"/>
        <w:rPr>
          <w:b/>
          <w:i/>
          <w:i/>
          <w:sz w:val="18"/>
          <w:szCs w:val="18"/>
        </w:rPr>
      </w:pPr>
      <w:r>
        <w:rPr>
          <w:b/>
          <w:i/>
          <w:sz w:val="18"/>
          <w:szCs w:val="18"/>
        </w:rPr>
        <w:t xml:space="preserve">Extrait plan cadastral ©cadastre.gouv </w:t>
      </w:r>
    </w:p>
    <w:p>
      <w:pPr>
        <w:pStyle w:val="Titre1"/>
        <w:numPr>
          <w:ilvl w:val="0"/>
          <w:numId w:val="1"/>
        </w:numPr>
        <w:rPr/>
      </w:pPr>
      <w:bookmarkStart w:id="9" w:name="_Toc215668030"/>
      <w:r>
        <w:rPr/>
        <w:t>CONTRAINTES REGLEMENTAIRES ET ADMINISTRATIVES</w:t>
      </w:r>
      <w:bookmarkEnd w:id="9"/>
    </w:p>
    <w:p>
      <w:pPr>
        <w:pStyle w:val="Titre2"/>
        <w:numPr>
          <w:ilvl w:val="1"/>
          <w:numId w:val="1"/>
        </w:numPr>
        <w:rPr/>
      </w:pPr>
      <w:bookmarkStart w:id="10" w:name="_Toc215668031"/>
      <w:r>
        <w:rPr/>
        <w:t>Le cadre réglementaire</w:t>
      </w:r>
      <w:bookmarkEnd w:id="10"/>
    </w:p>
    <w:p>
      <w:pPr>
        <w:pStyle w:val="RedTxt"/>
        <w:jc w:val="both"/>
        <w:rPr>
          <w:sz w:val="22"/>
          <w:szCs w:val="22"/>
        </w:rPr>
      </w:pPr>
      <w:r>
        <w:rPr>
          <w:sz w:val="22"/>
          <w:szCs w:val="22"/>
        </w:rPr>
        <w:t>L'opération devra être menée en totale conformité avec l’ensemble de ces dispositions ainsi qu’avec les règles de l’Art.</w:t>
      </w:r>
    </w:p>
    <w:p>
      <w:pPr>
        <w:pStyle w:val="Standard"/>
        <w:widowControl/>
        <w:spacing w:lineRule="auto" w:line="276"/>
        <w:jc w:val="both"/>
        <w:rPr>
          <w:sz w:val="22"/>
          <w:szCs w:val="22"/>
          <w:highlight w:val="yellow"/>
        </w:rPr>
      </w:pPr>
      <w:r>
        <w:rPr>
          <w:sz w:val="22"/>
          <w:szCs w:val="22"/>
          <w:highlight w:val="yellow"/>
        </w:rPr>
      </w:r>
    </w:p>
    <w:p>
      <w:pPr>
        <w:pStyle w:val="Standard"/>
        <w:widowControl/>
        <w:spacing w:lineRule="auto" w:line="276"/>
        <w:jc w:val="both"/>
        <w:rPr>
          <w:sz w:val="22"/>
          <w:szCs w:val="22"/>
        </w:rPr>
      </w:pPr>
      <w:r>
        <w:rPr>
          <w:sz w:val="22"/>
          <w:szCs w:val="22"/>
        </w:rPr>
        <w:t>Il s'agira de respecter en particulier les textes et normes suivants (liste non exhaustive)</w:t>
      </w:r>
      <w:r>
        <w:rPr/>
        <w:t xml:space="preserve"> </w:t>
      </w:r>
      <w:r>
        <w:rPr>
          <w:sz w:val="22"/>
          <w:szCs w:val="22"/>
        </w:rPr>
        <w:t>:</w:t>
      </w:r>
    </w:p>
    <w:p>
      <w:pPr>
        <w:pStyle w:val="Standard"/>
        <w:widowControl/>
        <w:numPr>
          <w:ilvl w:val="0"/>
          <w:numId w:val="2"/>
        </w:numPr>
        <w:spacing w:lineRule="auto" w:line="276"/>
        <w:jc w:val="both"/>
        <w:rPr>
          <w:sz w:val="22"/>
          <w:szCs w:val="22"/>
        </w:rPr>
      </w:pPr>
      <w:r>
        <w:rPr>
          <w:sz w:val="22"/>
          <w:szCs w:val="22"/>
        </w:rPr>
        <w:t>Les règles de l’art, normes françaises, EUROCODES, DTU et règles de calcul en général ;</w:t>
      </w:r>
    </w:p>
    <w:p>
      <w:pPr>
        <w:pStyle w:val="Standard"/>
        <w:widowControl/>
        <w:numPr>
          <w:ilvl w:val="0"/>
          <w:numId w:val="2"/>
        </w:numPr>
        <w:spacing w:lineRule="auto" w:line="276"/>
        <w:jc w:val="both"/>
        <w:rPr>
          <w:bCs/>
          <w:sz w:val="22"/>
          <w:szCs w:val="22"/>
        </w:rPr>
      </w:pPr>
      <w:r>
        <w:rPr>
          <w:bCs/>
          <w:sz w:val="22"/>
          <w:szCs w:val="22"/>
        </w:rPr>
        <w:t>Les matériaux ne relevant pas d’un DTU devront justifier d’un avis technique ou d’une enquête technique d’aptitude à l’emploi ;</w:t>
      </w:r>
    </w:p>
    <w:p>
      <w:pPr>
        <w:pStyle w:val="Standard"/>
        <w:widowControl/>
        <w:numPr>
          <w:ilvl w:val="0"/>
          <w:numId w:val="2"/>
        </w:numPr>
        <w:spacing w:lineRule="auto" w:line="276"/>
        <w:jc w:val="both"/>
        <w:rPr>
          <w:b/>
        </w:rPr>
      </w:pPr>
      <w:r>
        <w:rPr>
          <w:rStyle w:val="Accentuationforte"/>
          <w:b w:val="false"/>
          <w:sz w:val="22"/>
          <w:szCs w:val="22"/>
        </w:rPr>
        <w:t>L’ensemble des CCAG PI, MOE, Travaux, Fournitures courantes et services.</w:t>
      </w:r>
    </w:p>
    <w:p>
      <w:pPr>
        <w:pStyle w:val="Standard"/>
        <w:widowControl/>
        <w:tabs>
          <w:tab w:val="clear" w:pos="708"/>
          <w:tab w:val="right" w:pos="9072" w:leader="dot"/>
        </w:tabs>
        <w:jc w:val="both"/>
        <w:rPr>
          <w:highlight w:val="yellow"/>
        </w:rPr>
      </w:pPr>
      <w:r>
        <w:rPr>
          <w:highlight w:val="yellow"/>
        </w:rPr>
        <w:drawing>
          <wp:anchor behindDoc="0" distT="0" distB="0" distL="0" distR="0" simplePos="0" locked="0" layoutInCell="0" allowOverlap="1" relativeHeight="5">
            <wp:simplePos x="0" y="0"/>
            <wp:positionH relativeFrom="margin">
              <wp:posOffset>4278630</wp:posOffset>
            </wp:positionH>
            <wp:positionV relativeFrom="paragraph">
              <wp:posOffset>5191125</wp:posOffset>
            </wp:positionV>
            <wp:extent cx="1752600" cy="355600"/>
            <wp:effectExtent l="0" t="0" r="0" b="0"/>
            <wp:wrapNone/>
            <wp:docPr id="10" name="Image 1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9" descr=""/>
                    <pic:cNvPicPr>
                      <a:picLocks noChangeAspect="1" noChangeArrowheads="1"/>
                    </pic:cNvPicPr>
                  </pic:nvPicPr>
                  <pic:blipFill>
                    <a:blip r:embed="rId5"/>
                    <a:stretch>
                      <a:fillRect/>
                    </a:stretch>
                  </pic:blipFill>
                  <pic:spPr bwMode="auto">
                    <a:xfrm>
                      <a:off x="0" y="0"/>
                      <a:ext cx="1752600" cy="355600"/>
                    </a:xfrm>
                    <a:prstGeom prst="rect">
                      <a:avLst/>
                    </a:prstGeom>
                  </pic:spPr>
                </pic:pic>
              </a:graphicData>
            </a:graphic>
          </wp:anchor>
        </w:drawing>
        <w:drawing>
          <wp:anchor behindDoc="0" distT="0" distB="0" distL="0" distR="0" simplePos="0" locked="0" layoutInCell="0" allowOverlap="1" relativeHeight="6">
            <wp:simplePos x="0" y="0"/>
            <wp:positionH relativeFrom="margin">
              <wp:posOffset>4278630</wp:posOffset>
            </wp:positionH>
            <wp:positionV relativeFrom="paragraph">
              <wp:posOffset>4883150</wp:posOffset>
            </wp:positionV>
            <wp:extent cx="1748790" cy="307975"/>
            <wp:effectExtent l="0" t="0" r="0" b="0"/>
            <wp:wrapNone/>
            <wp:docPr id="11" name="Image 2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20" descr=""/>
                    <pic:cNvPicPr>
                      <a:picLocks noChangeAspect="1" noChangeArrowheads="1"/>
                    </pic:cNvPicPr>
                  </pic:nvPicPr>
                  <pic:blipFill>
                    <a:blip r:embed="rId6"/>
                    <a:stretch>
                      <a:fillRect/>
                    </a:stretch>
                  </pic:blipFill>
                  <pic:spPr bwMode="auto">
                    <a:xfrm>
                      <a:off x="0" y="0"/>
                      <a:ext cx="1748790" cy="307975"/>
                    </a:xfrm>
                    <a:prstGeom prst="rect">
                      <a:avLst/>
                    </a:prstGeom>
                  </pic:spPr>
                </pic:pic>
              </a:graphicData>
            </a:graphic>
          </wp:anchor>
        </w:drawing>
        <w:drawing>
          <wp:anchor behindDoc="0" distT="0" distB="0" distL="0" distR="0" simplePos="0" locked="0" layoutInCell="0" allowOverlap="1" relativeHeight="7">
            <wp:simplePos x="0" y="0"/>
            <wp:positionH relativeFrom="margin">
              <wp:posOffset>4280535</wp:posOffset>
            </wp:positionH>
            <wp:positionV relativeFrom="paragraph">
              <wp:posOffset>4596130</wp:posOffset>
            </wp:positionV>
            <wp:extent cx="1755140" cy="304800"/>
            <wp:effectExtent l="0" t="0" r="0" b="0"/>
            <wp:wrapNone/>
            <wp:docPr id="12" name="Image 2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21" descr=""/>
                    <pic:cNvPicPr>
                      <a:picLocks noChangeAspect="1" noChangeArrowheads="1"/>
                    </pic:cNvPicPr>
                  </pic:nvPicPr>
                  <pic:blipFill>
                    <a:blip r:embed="rId7"/>
                    <a:stretch>
                      <a:fillRect/>
                    </a:stretch>
                  </pic:blipFill>
                  <pic:spPr bwMode="auto">
                    <a:xfrm>
                      <a:off x="0" y="0"/>
                      <a:ext cx="1755140" cy="304800"/>
                    </a:xfrm>
                    <a:prstGeom prst="rect">
                      <a:avLst/>
                    </a:prstGeom>
                  </pic:spPr>
                </pic:pic>
              </a:graphicData>
            </a:graphic>
          </wp:anchor>
        </w:drawing>
      </w:r>
    </w:p>
    <w:p>
      <w:pPr>
        <w:pStyle w:val="Titre2"/>
        <w:numPr>
          <w:ilvl w:val="1"/>
          <w:numId w:val="1"/>
        </w:numPr>
        <w:rPr/>
      </w:pPr>
      <w:bookmarkStart w:id="11" w:name="_Toc215668032"/>
      <w:r>
        <w:rPr/>
        <w:t>Les exigences environnementales</w:t>
      </w:r>
      <w:bookmarkEnd w:id="11"/>
    </w:p>
    <w:p>
      <w:pPr>
        <w:pStyle w:val="Normal"/>
        <w:jc w:val="both"/>
        <w:rPr/>
      </w:pPr>
      <w:r>
        <w:rPr/>
        <w:t>Aucune</w:t>
      </w:r>
    </w:p>
    <w:p>
      <w:pPr>
        <w:pStyle w:val="Titre2"/>
        <w:numPr>
          <w:ilvl w:val="1"/>
          <w:numId w:val="1"/>
        </w:numPr>
        <w:rPr/>
      </w:pPr>
      <w:bookmarkStart w:id="12" w:name="_Toc215668033"/>
      <w:r>
        <w:rPr/>
        <w:t>Les obligations administratives</w:t>
      </w:r>
      <w:bookmarkEnd w:id="12"/>
    </w:p>
    <w:p>
      <w:pPr>
        <w:pStyle w:val="Normal"/>
        <w:jc w:val="both"/>
        <w:rPr/>
      </w:pPr>
      <w:r>
        <w:rPr/>
        <w:t>Aucune.</w:t>
      </w:r>
    </w:p>
    <w:p>
      <w:pPr>
        <w:pStyle w:val="Normal"/>
        <w:jc w:val="both"/>
        <w:rPr/>
      </w:pPr>
      <w:r>
        <w:rPr/>
      </w:r>
    </w:p>
    <w:p>
      <w:pPr>
        <w:pStyle w:val="Titre1"/>
        <w:numPr>
          <w:ilvl w:val="0"/>
          <w:numId w:val="1"/>
        </w:numPr>
        <w:rPr/>
      </w:pPr>
      <w:bookmarkStart w:id="13" w:name="_Toc215668034"/>
      <w:r>
        <w:rPr/>
        <w:t>PRESENTATION DE L’EXISTANT</w:t>
      </w:r>
      <w:bookmarkEnd w:id="13"/>
    </w:p>
    <w:p>
      <w:pPr>
        <w:pStyle w:val="Normal"/>
        <w:jc w:val="both"/>
        <w:rPr/>
      </w:pPr>
      <w:r>
        <w:rPr/>
        <w:t>Les travaux se situent au 1 Rue de Turenne à Port de Bouc</w:t>
      </w:r>
      <w:r>
        <mc:AlternateContent>
          <mc:Choice Requires="wps">
            <w:drawing>
              <wp:anchor behindDoc="0" distT="0" distB="0" distL="0" distR="0" simplePos="0" locked="0" layoutInCell="0" allowOverlap="1" relativeHeight="8" wp14:anchorId="1FB65520">
                <wp:simplePos x="0" y="0"/>
                <wp:positionH relativeFrom="column">
                  <wp:posOffset>4567555</wp:posOffset>
                </wp:positionH>
                <wp:positionV relativeFrom="paragraph">
                  <wp:posOffset>2243455</wp:posOffset>
                </wp:positionV>
                <wp:extent cx="244475" cy="228600"/>
                <wp:effectExtent l="0" t="0" r="0" b="0"/>
                <wp:wrapNone/>
                <wp:docPr id="13" name="Zone de texte 35"/>
                <a:graphic xmlns:a="http://schemas.openxmlformats.org/drawingml/2006/main">
                  <a:graphicData uri="http://schemas.microsoft.com/office/word/2010/wordprocessingShape">
                    <wps:wsp>
                      <wps:cNvSpPr/>
                      <wps:spPr>
                        <a:xfrm>
                          <a:off x="0" y="0"/>
                          <a:ext cx="244440" cy="228600"/>
                        </a:xfrm>
                        <a:prstGeom prst="rect">
                          <a:avLst/>
                        </a:prstGeom>
                        <a:noFill/>
                        <a:ln w="6350">
                          <a:noFill/>
                        </a:ln>
                      </wps:spPr>
                      <wps:style>
                        <a:lnRef idx="0"/>
                        <a:fillRef idx="0"/>
                        <a:effectRef idx="0"/>
                        <a:fontRef idx="minor"/>
                      </wps:style>
                      <wps:txbx>
                        <w:txbxContent>
                          <w:p>
                            <w:pPr>
                              <w:pStyle w:val="Contenudecadre"/>
                              <w:spacing w:before="0" w:after="160"/>
                              <w:rPr>
                                <w:color w:val="FFC000" w:themeColor="accent4"/>
                              </w:rPr>
                            </w:pPr>
                            <w:r>
                              <w:rPr/>
                            </w:r>
                          </w:p>
                        </w:txbxContent>
                      </wps:txbx>
                      <wps:bodyPr anchor="t">
                        <a:prstTxWarp prst="textNoShape"/>
                        <a:noAutofit/>
                      </wps:bodyPr>
                    </wps:wsp>
                  </a:graphicData>
                </a:graphic>
              </wp:anchor>
            </w:drawing>
          </mc:Choice>
          <mc:Fallback>
            <w:pict>
              <v:rect id="shape_0" ID="Zone de texte 35" path="m0,0l-2147483645,0l-2147483645,-2147483646l0,-2147483646xe" stroked="f" o:allowincell="f" style="position:absolute;margin-left:359.65pt;margin-top:176.65pt;width:19.2pt;height:17.95pt;mso-wrap-style:none;v-text-anchor:middle" wp14:anchorId="1FB65520">
                <v:fill o:detectmouseclick="t" on="false"/>
                <v:stroke color="#3465a4" weight="6480" joinstyle="round" endcap="flat"/>
                <v:textbox>
                  <w:txbxContent>
                    <w:p>
                      <w:pPr>
                        <w:pStyle w:val="Contenudecadre"/>
                        <w:spacing w:before="0" w:after="160"/>
                        <w:rPr>
                          <w:color w:val="FFC000" w:themeColor="accent4"/>
                        </w:rPr>
                      </w:pPr>
                      <w:r>
                        <w:rPr/>
                      </w:r>
                    </w:p>
                  </w:txbxContent>
                </v:textbox>
                <w10:wrap type="none"/>
              </v:rect>
            </w:pict>
          </mc:Fallback>
        </mc:AlternateContent>
      </w:r>
      <w:r>
        <w:rPr/>
        <w:t>.</w:t>
      </w:r>
    </w:p>
    <w:p>
      <w:pPr>
        <w:pStyle w:val="Normal"/>
        <w:jc w:val="both"/>
        <w:rPr/>
      </w:pPr>
      <w:r>
        <w:rPr/>
        <w:t>Les 3 bâtiments concernés sont en R+3 et comportent chacun une entrée distincte.</w:t>
      </w:r>
    </w:p>
    <w:p>
      <w:pPr>
        <w:pStyle w:val="Normal"/>
        <w:jc w:val="both"/>
        <w:rPr/>
      </w:pPr>
      <w:r>
        <w:rPr/>
        <w:t>Le bâtiment A contient 8 logements.</w:t>
      </w:r>
    </w:p>
    <w:p>
      <w:pPr>
        <w:pStyle w:val="Normal"/>
        <w:jc w:val="both"/>
        <w:rPr/>
      </w:pPr>
      <w:r>
        <w:rPr/>
        <w:t>Le bâtiment B contient 8 logements.</w:t>
      </w:r>
    </w:p>
    <w:p>
      <w:pPr>
        <w:pStyle w:val="Normal"/>
        <w:jc w:val="both"/>
        <w:rPr/>
      </w:pPr>
      <w:r>
        <w:rPr/>
        <w:t>Le bâtiment C contient 8 logements.</w:t>
      </w:r>
    </w:p>
    <w:p>
      <w:pPr>
        <w:pStyle w:val="Normal"/>
        <w:jc w:val="both"/>
        <w:rPr/>
      </w:pPr>
      <w:r>
        <w:rPr/>
        <w:t>La majorité des logements sont occupés.</w:t>
      </w:r>
    </w:p>
    <w:p>
      <w:pPr>
        <w:pStyle w:val="Normal"/>
        <w:rPr>
          <w:rFonts w:ascii="Calibri" w:hAnsi="Calibri" w:eastAsia="Calibri" w:cs="Times New Roman"/>
        </w:rPr>
      </w:pPr>
      <w:r>
        <w:rPr/>
        <w:t>Des travaux de remplacement des colonnes d’eau sont en cours. Pour des raisons techniques (passage de colonnes existantes entre salles de bains de cages d’escaliers différentes), il est nécessaire de démolir et rénover les salles de bains et WC de 5 appartements dans le cadre de ces travaux.</w:t>
      </w:r>
    </w:p>
    <w:p>
      <w:pPr>
        <w:pStyle w:val="Titre1"/>
        <w:numPr>
          <w:ilvl w:val="0"/>
          <w:numId w:val="1"/>
        </w:numPr>
        <w:rPr/>
      </w:pPr>
      <w:bookmarkStart w:id="14" w:name="_Toc215668035"/>
      <w:r>
        <w:rPr/>
        <w:t>LES ELEMENTS PROGRAMMATIQUES DE L’OPERATION</w:t>
      </w:r>
      <w:bookmarkEnd w:id="14"/>
    </w:p>
    <w:p>
      <w:pPr>
        <w:pStyle w:val="Titre2"/>
        <w:numPr>
          <w:ilvl w:val="1"/>
          <w:numId w:val="1"/>
        </w:numPr>
        <w:rPr/>
      </w:pPr>
      <w:bookmarkStart w:id="15" w:name="_Toc215668036"/>
      <w:r>
        <w:rPr/>
        <w:t>Description générale de l’opération</w:t>
      </w:r>
      <w:bookmarkEnd w:id="15"/>
    </w:p>
    <w:p>
      <w:pPr>
        <w:pStyle w:val="Normal"/>
        <w:rPr/>
      </w:pPr>
      <w:r>
        <w:rPr/>
        <w:t>Les travaux consistent à rénover les cuisines, WC et salles de bains de 18 appartements :</w:t>
      </w:r>
    </w:p>
    <w:p>
      <w:pPr>
        <w:pStyle w:val="ListParagraph"/>
        <w:numPr>
          <w:ilvl w:val="0"/>
          <w:numId w:val="10"/>
        </w:numPr>
        <w:jc w:val="both"/>
        <w:rPr/>
      </w:pPr>
      <w:r>
        <w:rPr/>
        <w:t>Dépose des WC, douches, lavabos, éviers, baignoires et plomberie existants ;</w:t>
      </w:r>
    </w:p>
    <w:p>
      <w:pPr>
        <w:pStyle w:val="ListParagraph"/>
        <w:numPr>
          <w:ilvl w:val="0"/>
          <w:numId w:val="10"/>
        </w:numPr>
        <w:jc w:val="both"/>
        <w:rPr/>
      </w:pPr>
      <w:r>
        <w:rPr/>
        <w:t>Dépose des prises et arrivées électriques existantes ;</w:t>
      </w:r>
    </w:p>
    <w:p>
      <w:pPr>
        <w:pStyle w:val="ListParagraph"/>
        <w:numPr>
          <w:ilvl w:val="0"/>
          <w:numId w:val="10"/>
        </w:numPr>
        <w:jc w:val="both"/>
        <w:rPr/>
      </w:pPr>
      <w:r>
        <w:rPr/>
        <w:t>Dépose des éléments de second-œuvre si nécessaire : hottes, éléments en bois, carrelages ou sols souples, etc.</w:t>
      </w:r>
    </w:p>
    <w:p>
      <w:pPr>
        <w:pStyle w:val="ListParagraph"/>
        <w:jc w:val="both"/>
        <w:rPr/>
      </w:pPr>
      <w:r>
        <w:rPr/>
        <w:t>La conservation de ces éléments devra être étudiée ;</w:t>
      </w:r>
    </w:p>
    <w:p>
      <w:pPr>
        <w:pStyle w:val="ListParagraph"/>
        <w:numPr>
          <w:ilvl w:val="0"/>
          <w:numId w:val="10"/>
        </w:numPr>
        <w:jc w:val="both"/>
        <w:rPr/>
      </w:pPr>
      <w:r>
        <w:rPr/>
        <w:t>Pose de nouveaux carrelages, revêtements de sols et muraux ;</w:t>
      </w:r>
    </w:p>
    <w:p>
      <w:pPr>
        <w:pStyle w:val="ListParagraph"/>
        <w:numPr>
          <w:ilvl w:val="0"/>
          <w:numId w:val="10"/>
        </w:numPr>
        <w:jc w:val="both"/>
        <w:rPr/>
      </w:pPr>
      <w:r>
        <w:rPr/>
        <w:t>Pose de nouveaux équipements de plomberie : évier, lavabos, douches, WC ;</w:t>
      </w:r>
    </w:p>
    <w:p>
      <w:pPr>
        <w:pStyle w:val="ListParagraph"/>
        <w:numPr>
          <w:ilvl w:val="0"/>
          <w:numId w:val="10"/>
        </w:numPr>
        <w:jc w:val="both"/>
        <w:rPr/>
      </w:pPr>
      <w:r>
        <w:rPr/>
        <w:t>Remise en peinture et mise en conformité des branchements électriques.</w:t>
      </w:r>
    </w:p>
    <w:p>
      <w:pPr>
        <w:pStyle w:val="Normal"/>
        <w:jc w:val="both"/>
        <w:rPr/>
      </w:pPr>
      <w:bookmarkStart w:id="16" w:name="_Hlk211270104"/>
      <w:bookmarkEnd w:id="16"/>
      <w:r>
        <w:rPr/>
        <w:t>Lors de la mission DIAG, le maître d’œuvre devra établir un état des lieux des pièces concernées par le présent marché. Il devra proposer au maître d’ouvrage une évaluation de l’opportunité de procéder à des travaux au regard de l’état des existants.</w:t>
      </w:r>
    </w:p>
    <w:p>
      <w:pPr>
        <w:pStyle w:val="Normal"/>
        <w:jc w:val="both"/>
        <w:rPr/>
      </w:pPr>
      <w:r>
        <w:rPr/>
        <w:t xml:space="preserve">Ainsi, pour chaque appartement concerné par le présent marché (voir tableau en annexe), le maître d’œuvre donnera son analyse sur : </w:t>
      </w:r>
    </w:p>
    <w:p>
      <w:pPr>
        <w:pStyle w:val="ListParagraph"/>
        <w:numPr>
          <w:ilvl w:val="0"/>
          <w:numId w:val="11"/>
        </w:numPr>
        <w:jc w:val="both"/>
        <w:rPr/>
      </w:pPr>
      <w:r>
        <w:rPr/>
        <w:t>L’état de la plomberie</w:t>
      </w:r>
    </w:p>
    <w:p>
      <w:pPr>
        <w:pStyle w:val="ListParagraph"/>
        <w:numPr>
          <w:ilvl w:val="0"/>
          <w:numId w:val="11"/>
        </w:numPr>
        <w:jc w:val="both"/>
        <w:rPr/>
      </w:pPr>
      <w:r>
        <w:rPr/>
        <w:t>L’état des équipements : douche, baignoire, WC, évier, etc.</w:t>
      </w:r>
    </w:p>
    <w:p>
      <w:pPr>
        <w:pStyle w:val="ListParagraph"/>
        <w:numPr>
          <w:ilvl w:val="0"/>
          <w:numId w:val="11"/>
        </w:numPr>
        <w:jc w:val="both"/>
        <w:rPr/>
      </w:pPr>
      <w:r>
        <w:rPr/>
        <w:t>L’état des équipements électriques</w:t>
      </w:r>
    </w:p>
    <w:p>
      <w:pPr>
        <w:pStyle w:val="ListParagraph"/>
        <w:numPr>
          <w:ilvl w:val="0"/>
          <w:numId w:val="11"/>
        </w:numPr>
        <w:jc w:val="both"/>
        <w:rPr/>
      </w:pPr>
      <w:r>
        <w:rPr/>
        <w:t>L’état des revêtements de sol, muraux, peintures.</w:t>
      </w:r>
    </w:p>
    <w:p>
      <w:pPr>
        <w:pStyle w:val="ListParagraph"/>
        <w:numPr>
          <w:ilvl w:val="0"/>
          <w:numId w:val="11"/>
        </w:numPr>
        <w:jc w:val="both"/>
        <w:rPr/>
      </w:pPr>
      <w:r>
        <w:rPr/>
        <w:t>L’état des placards existants notamment dans les cuisines.</w:t>
      </w:r>
    </w:p>
    <w:p>
      <w:pPr>
        <w:pStyle w:val="Normal"/>
        <w:jc w:val="both"/>
        <w:rPr/>
      </w:pPr>
      <w:r>
        <w:rPr/>
        <w:t>Il proposera en conclusion un programme de travaux affiné, détaillé pour chaque pièce et adapté aux besoins.</w:t>
      </w:r>
    </w:p>
    <w:p>
      <w:pPr>
        <w:pStyle w:val="Normal"/>
        <w:jc w:val="both"/>
        <w:rPr/>
      </w:pPr>
      <w:r>
        <w:rPr/>
        <w:t>Le nombre d’appartements concernés sera alors remis à jour : l’attention du Titulaire est attirée sur le fait que le nombre de pièces et appartements concernés peut être inférieur aux 18 logements entiers prévus en théorie, ou porter sur des pièces de plus de logements, si la totalité des trois pièces n’est pas à refaire dans tous les appartements.</w:t>
      </w:r>
    </w:p>
    <w:p>
      <w:pPr>
        <w:pStyle w:val="Normal"/>
        <w:jc w:val="both"/>
        <w:rPr/>
      </w:pPr>
      <w:r>
        <w:rPr/>
      </w:r>
    </w:p>
    <w:p>
      <w:pPr>
        <w:pStyle w:val="Normal"/>
        <w:jc w:val="both"/>
        <w:rPr/>
      </w:pPr>
      <w:r>
        <w:rPr/>
        <w:t xml:space="preserve"> </w:t>
      </w:r>
    </w:p>
    <w:p>
      <w:pPr>
        <w:pStyle w:val="Titre2"/>
        <w:numPr>
          <w:ilvl w:val="1"/>
          <w:numId w:val="1"/>
        </w:numPr>
        <w:rPr/>
      </w:pPr>
      <w:bookmarkStart w:id="17" w:name="_Hlk211270104"/>
      <w:bookmarkStart w:id="18" w:name="_Toc215668037"/>
      <w:bookmarkEnd w:id="17"/>
      <w:r>
        <w:rPr/>
        <w:t>Le budget alloué aux travaux</w:t>
      </w:r>
      <w:bookmarkEnd w:id="18"/>
    </w:p>
    <w:p>
      <w:pPr>
        <w:pStyle w:val="Normal"/>
        <w:spacing w:lineRule="auto" w:line="240" w:before="0" w:after="0"/>
        <w:rPr>
          <w:rFonts w:cs="Arial"/>
          <w:color w:val="000000"/>
        </w:rPr>
      </w:pPr>
      <w:r>
        <w:rPr/>
        <w:t xml:space="preserve">Le budget alloué aux travaux par le Maître d’Ouvrage s’élève à </w:t>
      </w:r>
      <w:bookmarkStart w:id="19" w:name="_Hlk132298489"/>
      <w:r>
        <w:rPr>
          <w:rFonts w:cs="Arial"/>
          <w:color w:val="000000"/>
        </w:rPr>
        <w:t>190 000 € HT</w:t>
      </w:r>
      <w:bookmarkEnd w:id="19"/>
      <w:r>
        <w:rPr>
          <w:rFonts w:cs="Arial"/>
          <w:color w:val="000000"/>
        </w:rPr>
        <w:t>.</w:t>
      </w:r>
    </w:p>
    <w:p>
      <w:pPr>
        <w:pStyle w:val="Titre2"/>
        <w:numPr>
          <w:ilvl w:val="1"/>
          <w:numId w:val="1"/>
        </w:numPr>
        <w:rPr/>
      </w:pPr>
      <w:bookmarkStart w:id="20" w:name="_Toc215668038"/>
      <w:bookmarkStart w:id="21" w:name="_TOC_250006"/>
      <w:r>
        <w:rPr/>
        <w:t xml:space="preserve">Décomposition du </w:t>
      </w:r>
      <w:bookmarkEnd w:id="21"/>
      <w:r>
        <w:rPr/>
        <w:t>marché de maitrise d’œuvre en tranches</w:t>
      </w:r>
      <w:bookmarkEnd w:id="20"/>
    </w:p>
    <w:p>
      <w:pPr>
        <w:pStyle w:val="Normal"/>
        <w:spacing w:lineRule="auto" w:line="240" w:before="0" w:after="0"/>
        <w:jc w:val="both"/>
        <w:rPr>
          <w:rFonts w:cs="Arial"/>
          <w:color w:val="000000"/>
        </w:rPr>
      </w:pPr>
      <w:r>
        <w:rPr>
          <w:rFonts w:cs="Arial"/>
          <w:color w:val="000000"/>
        </w:rPr>
        <w:t>Il n’est pas prévu de décomposition.</w:t>
      </w:r>
    </w:p>
    <w:p>
      <w:pPr>
        <w:pStyle w:val="Titre2"/>
        <w:numPr>
          <w:ilvl w:val="1"/>
          <w:numId w:val="1"/>
        </w:numPr>
        <w:rPr/>
      </w:pPr>
      <w:bookmarkStart w:id="22" w:name="_Toc215668039"/>
      <w:r>
        <w:rPr/>
        <w:t>Le planning enveloppe de l’opération</w:t>
      </w:r>
      <w:bookmarkEnd w:id="22"/>
    </w:p>
    <w:p>
      <w:pPr>
        <w:pStyle w:val="Normal"/>
        <w:rPr/>
      </w:pPr>
      <w:r>
        <w:rPr/>
        <w:t>Le planning envisagé est le suivant :</w:t>
      </w:r>
    </w:p>
    <w:p>
      <w:pPr>
        <w:pStyle w:val="ListParagraph"/>
        <w:numPr>
          <w:ilvl w:val="0"/>
          <w:numId w:val="3"/>
        </w:numPr>
        <w:rPr/>
      </w:pPr>
      <w:r>
        <w:rPr/>
        <w:t>Notification équipe de maîtrise d’œuvre : février 2026</w:t>
      </w:r>
    </w:p>
    <w:p>
      <w:pPr>
        <w:pStyle w:val="ListParagraph"/>
        <w:numPr>
          <w:ilvl w:val="0"/>
          <w:numId w:val="3"/>
        </w:numPr>
        <w:rPr/>
      </w:pPr>
      <w:r>
        <w:rPr/>
        <w:t>Etudes : Février 2026 - Mai 2026</w:t>
      </w:r>
    </w:p>
    <w:p>
      <w:pPr>
        <w:pStyle w:val="ListParagraph"/>
        <w:numPr>
          <w:ilvl w:val="0"/>
          <w:numId w:val="3"/>
        </w:numPr>
        <w:rPr/>
      </w:pPr>
      <w:r>
        <w:rPr/>
        <w:t>Consultation des entreprises travaux : Juin 2026</w:t>
      </w:r>
    </w:p>
    <w:p>
      <w:pPr>
        <w:pStyle w:val="ListParagraph"/>
        <w:numPr>
          <w:ilvl w:val="0"/>
          <w:numId w:val="3"/>
        </w:numPr>
        <w:rPr/>
      </w:pPr>
      <w:r>
        <w:rPr/>
        <w:t>Notification des entreprises travaux : Septembre 2026</w:t>
      </w:r>
    </w:p>
    <w:p>
      <w:pPr>
        <w:pStyle w:val="ListParagraph"/>
        <w:numPr>
          <w:ilvl w:val="0"/>
          <w:numId w:val="3"/>
        </w:numPr>
        <w:rPr/>
      </w:pPr>
      <w:r>
        <w:rPr/>
        <w:t>Travaux : Septembre 2026 – Juin 2027 selon phasage à déterminer en fonction des appartements libres ou occupés et ciblés par l’opération</w:t>
      </w:r>
    </w:p>
    <w:p>
      <w:pPr>
        <w:pStyle w:val="Normal"/>
        <w:jc w:val="both"/>
        <w:rPr/>
      </w:pPr>
      <w:r>
        <w:rPr>
          <w:rFonts w:eastAsia="Wingdings" w:cs="Wingdings" w:ascii="Wingdings" w:hAnsi="Wingdings"/>
        </w:rPr>
        <w:sym w:font="Wingdings" w:char="f0e0"/>
      </w:r>
      <w:r>
        <w:rPr/>
        <w:t xml:space="preserve"> </w:t>
      </w:r>
      <w:r>
        <w:rPr>
          <w:u w:val="single"/>
        </w:rPr>
        <w:t>Annexe</w:t>
      </w:r>
      <w:r>
        <w:rPr/>
        <w:t> : planning enveloppe</w:t>
      </w:r>
    </w:p>
    <w:p>
      <w:pPr>
        <w:pStyle w:val="Titre1"/>
        <w:numPr>
          <w:ilvl w:val="0"/>
          <w:numId w:val="1"/>
        </w:numPr>
        <w:rPr/>
      </w:pPr>
      <w:bookmarkStart w:id="23" w:name="_Toc215668040"/>
      <w:r>
        <w:rPr/>
        <w:t>LES MISSIONS DE LA MAITRISE D’ŒUVRE</w:t>
      </w:r>
      <w:bookmarkEnd w:id="23"/>
    </w:p>
    <w:p>
      <w:pPr>
        <w:pStyle w:val="Normal"/>
        <w:jc w:val="both"/>
        <w:rPr/>
      </w:pPr>
      <w:r>
        <w:rPr/>
        <w:t>Le Maître d’œuvre devra fournir à chaque phase de ses études une estimation des travaux permettant de vérifier le respect de l’enveloppe financière fixée par le Maître d’ouvrage.</w:t>
      </w:r>
    </w:p>
    <w:p>
      <w:pPr>
        <w:pStyle w:val="Normal"/>
        <w:rPr/>
      </w:pPr>
      <w:r>
        <w:rPr/>
        <w:t>Les missions attendues de la maitrise d’œuvre sont :</w:t>
      </w:r>
    </w:p>
    <w:p>
      <w:pPr>
        <w:pStyle w:val="Titre2"/>
        <w:numPr>
          <w:ilvl w:val="1"/>
          <w:numId w:val="1"/>
        </w:numPr>
        <w:rPr/>
      </w:pPr>
      <w:bookmarkStart w:id="24" w:name="_Toc215668041"/>
      <w:r>
        <w:rPr/>
        <w:t>Etude diagnostic (DIAG)</w:t>
      </w:r>
      <w:bookmarkEnd w:id="24"/>
    </w:p>
    <w:p>
      <w:pPr>
        <w:pStyle w:val="Normal"/>
        <w:rPr>
          <w:rFonts w:cs="Arial"/>
        </w:rPr>
      </w:pPr>
      <w:r>
        <w:rPr>
          <w:rFonts w:cs="Arial"/>
        </w:rPr>
        <w:t>Les études de diagnostic qui permettent de renseigner le maître d’ouvrage sur l’état du bâtiment et sur la faisabilité de l’opération ont pour objet :</w:t>
      </w:r>
    </w:p>
    <w:p>
      <w:pPr>
        <w:pStyle w:val="ListParagraph"/>
        <w:numPr>
          <w:ilvl w:val="0"/>
          <w:numId w:val="8"/>
        </w:numPr>
        <w:rPr>
          <w:rFonts w:cs="Arial"/>
        </w:rPr>
      </w:pPr>
      <w:r>
        <w:rPr>
          <w:rFonts w:cs="Arial"/>
        </w:rPr>
        <w:t>d’établir un état des lieux ;</w:t>
      </w:r>
    </w:p>
    <w:p>
      <w:pPr>
        <w:pStyle w:val="ListParagraph"/>
        <w:numPr>
          <w:ilvl w:val="0"/>
          <w:numId w:val="8"/>
        </w:numPr>
        <w:rPr>
          <w:rFonts w:cs="Arial"/>
        </w:rPr>
      </w:pPr>
      <w:r>
        <w:rPr>
          <w:rFonts w:cs="Arial"/>
        </w:rPr>
        <w:t>de fournir une analyse fonctionnelle et technique des pièces existantes ;</w:t>
      </w:r>
    </w:p>
    <w:p>
      <w:pPr>
        <w:pStyle w:val="ListParagraph"/>
        <w:numPr>
          <w:ilvl w:val="0"/>
          <w:numId w:val="8"/>
        </w:numPr>
        <w:rPr>
          <w:rFonts w:cs="Arial"/>
        </w:rPr>
      </w:pPr>
      <w:r>
        <w:rPr>
          <w:rFonts w:cs="Arial"/>
        </w:rPr>
        <w:t>de permettre d’établir un programme de rénovation ainsi qu’une estimation financière et d’en déduire la faisabilité de l’opération.</w:t>
      </w:r>
      <w:r>
        <w:rPr/>
        <w:t xml:space="preserve"> </w:t>
      </w:r>
    </w:p>
    <w:p>
      <w:pPr>
        <w:pStyle w:val="ListParagraph"/>
        <w:numPr>
          <w:ilvl w:val="0"/>
          <w:numId w:val="8"/>
        </w:numPr>
        <w:rPr>
          <w:rFonts w:cs="Arial"/>
        </w:rPr>
      </w:pPr>
      <w:r>
        <w:rPr/>
        <w:t>De permettre la consultation d’un diagnostiqueur amiante (et tout autre diagnostic le cas échéant) avant travaux en établissant un plan de repérage des sondages à réaliser dans le cadre du projet. </w:t>
      </w:r>
    </w:p>
    <w:p>
      <w:pPr>
        <w:pStyle w:val="Normal"/>
        <w:rPr>
          <w:rFonts w:cs="Arial"/>
        </w:rPr>
      </w:pPr>
      <w:r>
        <w:rPr>
          <w:rFonts w:cs="Arial"/>
        </w:rPr>
        <w:t>Le maître d’œuvre préconise, éventuellement, des études complémentaires d’investigation des existants.</w:t>
      </w:r>
    </w:p>
    <w:p>
      <w:pPr>
        <w:pStyle w:val="Normal"/>
        <w:rPr>
          <w:rFonts w:cs="Arial"/>
        </w:rPr>
      </w:pPr>
      <w:r>
        <w:rPr>
          <w:rFonts w:cs="Arial"/>
        </w:rPr>
        <w:t>Cette phase sera menée de façon à proposer un programme de travaux affiné et détaillé tel que décrit au paragraphe 4.1.</w:t>
      </w:r>
    </w:p>
    <w:p>
      <w:pPr>
        <w:pStyle w:val="Normal"/>
        <w:rPr/>
      </w:pPr>
      <w:r>
        <w:rPr/>
        <w:t>La réalisation des travaux en site occupé avec des locataires dans les appartements à aménager est un point de coordination important à prendre en compte dans les délais et l’organisation des travaux.</w:t>
      </w:r>
    </w:p>
    <w:p>
      <w:pPr>
        <w:pStyle w:val="Titre2"/>
        <w:numPr>
          <w:ilvl w:val="1"/>
          <w:numId w:val="1"/>
        </w:numPr>
        <w:rPr/>
      </w:pPr>
      <w:bookmarkStart w:id="25" w:name="_Toc215668042"/>
      <w:r>
        <w:rPr/>
        <w:t>Etudes avant-projet (AVP)</w:t>
      </w:r>
      <w:bookmarkEnd w:id="25"/>
    </w:p>
    <w:p>
      <w:pPr>
        <w:pStyle w:val="Normal"/>
        <w:jc w:val="both"/>
        <w:rPr/>
      </w:pPr>
      <w:r>
        <w:rPr/>
        <w:t xml:space="preserve">Les études d’avant-projet comprennent des études d’avant-projet sommaire définies à l’article </w:t>
        <w:br/>
        <w:t>R. 2431-21 et des études d’avant-projet définitif définies à l’article R. 2431-22.</w:t>
      </w:r>
    </w:p>
    <w:p>
      <w:pPr>
        <w:pStyle w:val="Normal"/>
        <w:jc w:val="both"/>
        <w:rPr/>
      </w:pPr>
      <w:r>
        <w:rPr/>
        <w:t xml:space="preserve">Les études d’avant-projet comprennent également l’établissement des dossiers et les consultations relevant de la compétence de la maîtrise d’œuvre. </w:t>
      </w:r>
    </w:p>
    <w:p>
      <w:pPr>
        <w:pStyle w:val="Normal"/>
        <w:jc w:val="both"/>
        <w:rPr/>
      </w:pPr>
      <w:r>
        <w:rPr/>
      </w:r>
    </w:p>
    <w:p>
      <w:pPr>
        <w:pStyle w:val="Titre2"/>
        <w:numPr>
          <w:ilvl w:val="1"/>
          <w:numId w:val="1"/>
        </w:numPr>
        <w:rPr/>
      </w:pPr>
      <w:bookmarkStart w:id="26" w:name="_Toc215668043"/>
      <w:r>
        <w:rPr/>
        <w:t>Etudes de projet (PRO/DCE)</w:t>
      </w:r>
      <w:bookmarkEnd w:id="26"/>
    </w:p>
    <w:p>
      <w:pPr>
        <w:pStyle w:val="ListParagraph"/>
        <w:numPr>
          <w:ilvl w:val="0"/>
          <w:numId w:val="9"/>
        </w:numPr>
        <w:tabs>
          <w:tab w:val="clear" w:pos="708"/>
          <w:tab w:val="left" w:pos="1836" w:leader="none"/>
        </w:tabs>
        <w:spacing w:lineRule="auto" w:line="240"/>
        <w:jc w:val="both"/>
        <w:rPr>
          <w:rFonts w:cs="Arial"/>
        </w:rPr>
      </w:pPr>
      <w:r>
        <w:rPr>
          <w:rFonts w:cs="Arial"/>
        </w:rPr>
        <w:t>Préciser par des plans, coupes et élévations, les formes des différents éléments de la construction, la nature et les caractéristiques des matériaux et les conditions de leur mise en œuvre ;</w:t>
      </w:r>
    </w:p>
    <w:p>
      <w:pPr>
        <w:pStyle w:val="ListParagraph"/>
        <w:numPr>
          <w:ilvl w:val="0"/>
          <w:numId w:val="9"/>
        </w:numPr>
        <w:tabs>
          <w:tab w:val="clear" w:pos="708"/>
          <w:tab w:val="left" w:pos="1836" w:leader="none"/>
        </w:tabs>
        <w:spacing w:lineRule="auto" w:line="240"/>
        <w:jc w:val="both"/>
        <w:rPr>
          <w:rFonts w:cs="Arial"/>
        </w:rPr>
      </w:pPr>
      <w:r>
        <w:rPr>
          <w:rFonts w:cs="Arial"/>
        </w:rPr>
        <w:t>Déterminer l'implantation, et l'encombrement de tous les éléments de structure et de tous les équipements techniques ;</w:t>
      </w:r>
    </w:p>
    <w:p>
      <w:pPr>
        <w:pStyle w:val="ListParagraph"/>
        <w:numPr>
          <w:ilvl w:val="0"/>
          <w:numId w:val="9"/>
        </w:numPr>
        <w:tabs>
          <w:tab w:val="clear" w:pos="708"/>
          <w:tab w:val="left" w:pos="1836" w:leader="none"/>
        </w:tabs>
        <w:spacing w:lineRule="auto" w:line="240"/>
        <w:jc w:val="both"/>
        <w:rPr>
          <w:rFonts w:cs="Arial"/>
        </w:rPr>
      </w:pPr>
      <w:r>
        <w:rPr>
          <w:rFonts w:cs="Arial"/>
        </w:rPr>
        <w:t>Etablir un coût prévisionnel des travaux décomposés par corps d'état, sur la base d'un avant-métré ;</w:t>
      </w:r>
    </w:p>
    <w:p>
      <w:pPr>
        <w:pStyle w:val="ListParagraph"/>
        <w:numPr>
          <w:ilvl w:val="0"/>
          <w:numId w:val="9"/>
        </w:numPr>
        <w:tabs>
          <w:tab w:val="clear" w:pos="708"/>
          <w:tab w:val="left" w:pos="1836" w:leader="none"/>
        </w:tabs>
        <w:spacing w:lineRule="auto" w:line="240"/>
        <w:jc w:val="both"/>
        <w:rPr>
          <w:rFonts w:cs="Arial"/>
        </w:rPr>
      </w:pPr>
      <w:r>
        <w:rPr>
          <w:rFonts w:cs="Arial"/>
        </w:rPr>
        <w:t>Permettre au maître de l'ouvrage, au regard de cette évaluation, d'arrêter le coût prévisionnel de la réalisation de l'ouvrage et, par ailleurs, d'estimer les coûts de son exploitation ;</w:t>
      </w:r>
    </w:p>
    <w:p>
      <w:pPr>
        <w:pStyle w:val="ListParagraph"/>
        <w:numPr>
          <w:ilvl w:val="0"/>
          <w:numId w:val="9"/>
        </w:numPr>
        <w:tabs>
          <w:tab w:val="clear" w:pos="708"/>
          <w:tab w:val="left" w:pos="1836" w:leader="none"/>
        </w:tabs>
        <w:spacing w:lineRule="auto" w:line="240"/>
        <w:jc w:val="both"/>
        <w:rPr/>
      </w:pPr>
      <w:r>
        <w:rPr>
          <w:rFonts w:cs="Arial"/>
        </w:rPr>
        <w:t>Déterminer le délai global de réalisation des travaux.</w:t>
      </w:r>
    </w:p>
    <w:p>
      <w:pPr>
        <w:pStyle w:val="Titre2"/>
        <w:numPr>
          <w:ilvl w:val="1"/>
          <w:numId w:val="1"/>
        </w:numPr>
        <w:rPr/>
      </w:pPr>
      <w:bookmarkStart w:id="27" w:name="_Toc215668044"/>
      <w:r>
        <w:rPr>
          <w:rFonts w:cs="Arial"/>
          <w:sz w:val="20"/>
          <w:szCs w:val="20"/>
        </w:rPr>
        <w:t>Assistance pour la passation du Contrat de Travaux (</w:t>
      </w:r>
      <w:r>
        <w:rPr/>
        <w:t>ACT)</w:t>
      </w:r>
      <w:bookmarkEnd w:id="27"/>
      <w:r>
        <w:rPr/>
        <w:tab/>
      </w:r>
    </w:p>
    <w:p>
      <w:pPr>
        <w:pStyle w:val="ListParagraph"/>
        <w:numPr>
          <w:ilvl w:val="0"/>
          <w:numId w:val="4"/>
        </w:numPr>
        <w:spacing w:lineRule="auto" w:line="240" w:before="0" w:after="0"/>
        <w:contextualSpacing/>
        <w:rPr>
          <w:rFonts w:cs="Arial"/>
        </w:rPr>
      </w:pPr>
      <w:r>
        <w:rPr>
          <w:rFonts w:cs="Arial"/>
        </w:rPr>
        <w:t xml:space="preserve">Préparation et établissement des DCE pour permettre une consultation dans le cadre d’un MAPA </w:t>
      </w:r>
    </w:p>
    <w:p>
      <w:pPr>
        <w:pStyle w:val="ListParagraph"/>
        <w:numPr>
          <w:ilvl w:val="0"/>
          <w:numId w:val="4"/>
        </w:numPr>
        <w:spacing w:lineRule="auto" w:line="240" w:before="0" w:after="0"/>
        <w:contextualSpacing/>
        <w:rPr>
          <w:rFonts w:cs="Arial"/>
        </w:rPr>
      </w:pPr>
      <w:r>
        <w:rPr>
          <w:rFonts w:cs="Arial"/>
        </w:rPr>
        <w:t>Le DCE comprendra :</w:t>
      </w:r>
    </w:p>
    <w:p>
      <w:pPr>
        <w:pStyle w:val="ListParagraph"/>
        <w:numPr>
          <w:ilvl w:val="1"/>
          <w:numId w:val="4"/>
        </w:numPr>
        <w:spacing w:lineRule="auto" w:line="240" w:before="0" w:after="0"/>
        <w:contextualSpacing/>
        <w:rPr>
          <w:rFonts w:cs="Arial"/>
        </w:rPr>
      </w:pPr>
      <w:r>
        <w:rPr>
          <w:rFonts w:cs="Arial"/>
        </w:rPr>
        <w:t>Un CCTP</w:t>
      </w:r>
    </w:p>
    <w:p>
      <w:pPr>
        <w:pStyle w:val="ListParagraph"/>
        <w:numPr>
          <w:ilvl w:val="1"/>
          <w:numId w:val="4"/>
        </w:numPr>
        <w:spacing w:lineRule="auto" w:line="240" w:before="0" w:after="0"/>
        <w:contextualSpacing/>
        <w:rPr>
          <w:rFonts w:cs="Arial"/>
        </w:rPr>
      </w:pPr>
      <w:r>
        <w:rPr>
          <w:rFonts w:cs="Arial"/>
        </w:rPr>
        <w:t>Un BPU</w:t>
      </w:r>
    </w:p>
    <w:p>
      <w:pPr>
        <w:pStyle w:val="ListParagraph"/>
        <w:numPr>
          <w:ilvl w:val="1"/>
          <w:numId w:val="4"/>
        </w:numPr>
        <w:spacing w:lineRule="auto" w:line="240" w:before="0" w:after="0"/>
        <w:contextualSpacing/>
        <w:rPr>
          <w:rFonts w:cs="Arial"/>
        </w:rPr>
      </w:pPr>
      <w:r>
        <w:rPr>
          <w:rFonts w:cs="Arial"/>
        </w:rPr>
        <w:t>Un DE</w:t>
      </w:r>
    </w:p>
    <w:p>
      <w:pPr>
        <w:pStyle w:val="ListParagraph"/>
        <w:numPr>
          <w:ilvl w:val="1"/>
          <w:numId w:val="4"/>
        </w:numPr>
        <w:spacing w:lineRule="auto" w:line="240" w:before="0" w:after="0"/>
        <w:contextualSpacing/>
        <w:rPr>
          <w:rFonts w:cs="Arial"/>
        </w:rPr>
      </w:pPr>
      <w:r>
        <w:rPr>
          <w:rFonts w:cs="Arial"/>
        </w:rPr>
        <w:t>Tous les plans et carnets de détails nécessaires à la bonne compréhension du projet.</w:t>
      </w:r>
    </w:p>
    <w:p>
      <w:pPr>
        <w:pStyle w:val="ListParagraph"/>
        <w:numPr>
          <w:ilvl w:val="0"/>
          <w:numId w:val="4"/>
        </w:numPr>
        <w:spacing w:lineRule="auto" w:line="240" w:before="0" w:after="0"/>
        <w:contextualSpacing/>
        <w:rPr>
          <w:rFonts w:cs="Arial"/>
        </w:rPr>
      </w:pPr>
      <w:r>
        <w:rPr>
          <w:rFonts w:cs="Arial"/>
        </w:rPr>
        <w:t>Analyse des offres des entreprises de chaque appel d’offres :</w:t>
      </w:r>
    </w:p>
    <w:p>
      <w:pPr>
        <w:pStyle w:val="ListParagraph"/>
        <w:numPr>
          <w:ilvl w:val="1"/>
          <w:numId w:val="4"/>
        </w:numPr>
        <w:spacing w:lineRule="auto" w:line="240" w:before="0" w:after="0"/>
        <w:contextualSpacing/>
        <w:rPr>
          <w:rFonts w:cs="Arial"/>
        </w:rPr>
      </w:pPr>
      <w:r>
        <w:rPr>
          <w:rFonts w:cs="Arial"/>
        </w:rPr>
        <w:t>Vérifier la conformité des réponses par rapport aux documents de la consultation.</w:t>
      </w:r>
    </w:p>
    <w:p>
      <w:pPr>
        <w:pStyle w:val="ListParagraph"/>
        <w:numPr>
          <w:ilvl w:val="1"/>
          <w:numId w:val="4"/>
        </w:numPr>
        <w:spacing w:lineRule="auto" w:line="240" w:before="0" w:after="0"/>
        <w:contextualSpacing/>
        <w:rPr>
          <w:rFonts w:cs="Arial"/>
        </w:rPr>
      </w:pPr>
      <w:r>
        <w:rPr>
          <w:rFonts w:cs="Arial"/>
        </w:rPr>
        <w:t>Analyser les méthodes ou solutions techniques en vérifiant leurs pertinences.</w:t>
      </w:r>
    </w:p>
    <w:p>
      <w:pPr>
        <w:pStyle w:val="ListParagraph"/>
        <w:numPr>
          <w:ilvl w:val="1"/>
          <w:numId w:val="4"/>
        </w:numPr>
        <w:spacing w:lineRule="auto" w:line="240" w:before="0" w:after="0"/>
        <w:contextualSpacing/>
        <w:rPr>
          <w:rFonts w:cs="Arial"/>
        </w:rPr>
      </w:pPr>
      <w:r>
        <w:rPr>
          <w:rFonts w:cs="Arial"/>
        </w:rPr>
        <w:t>Établir un rapport d’analyse comparative, proposant les offres susceptibles d’être retenues conformément aux critères de jugement préconisés dans le règlement de la consultation (RC).</w:t>
      </w:r>
    </w:p>
    <w:p>
      <w:pPr>
        <w:pStyle w:val="ListParagraph"/>
        <w:numPr>
          <w:ilvl w:val="0"/>
          <w:numId w:val="4"/>
        </w:numPr>
        <w:spacing w:lineRule="auto" w:line="240" w:before="0" w:after="0"/>
        <w:contextualSpacing/>
        <w:rPr>
          <w:rFonts w:cs="Arial"/>
        </w:rPr>
      </w:pPr>
      <w:r>
        <w:rPr>
          <w:rFonts w:cs="Arial"/>
        </w:rPr>
        <w:t>Préparer les mises au point nécessaires pour permettre la passation du contrat de travaux par le maître d’ouvrage.</w:t>
      </w:r>
    </w:p>
    <w:p>
      <w:pPr>
        <w:pStyle w:val="Normal"/>
        <w:spacing w:lineRule="auto" w:line="240" w:before="0" w:after="0"/>
        <w:rPr>
          <w:rFonts w:cs="Arial"/>
        </w:rPr>
      </w:pPr>
      <w:r>
        <w:rPr>
          <w:rFonts w:cs="Arial"/>
        </w:rPr>
      </w:r>
    </w:p>
    <w:p>
      <w:pPr>
        <w:pStyle w:val="Titre2"/>
        <w:numPr>
          <w:ilvl w:val="1"/>
          <w:numId w:val="1"/>
        </w:numPr>
        <w:rPr/>
      </w:pPr>
      <w:bookmarkStart w:id="28" w:name="_Toc215668045"/>
      <w:r>
        <w:rPr/>
        <w:t>Examen de conformité au projet (VISA)</w:t>
      </w:r>
      <w:bookmarkEnd w:id="28"/>
      <w:r>
        <w:rPr/>
        <w:t xml:space="preserve">  </w:t>
      </w:r>
    </w:p>
    <w:p>
      <w:pPr>
        <w:pStyle w:val="Normal"/>
        <w:spacing w:lineRule="auto" w:line="240" w:before="0" w:after="0"/>
        <w:rPr>
          <w:rFonts w:cs="Arial"/>
        </w:rPr>
      </w:pPr>
      <w:r>
        <w:rPr>
          <w:rFonts w:cs="Arial"/>
        </w:rPr>
        <w:t>Les plans d'exécution qui seraient établis par les entreprises, feront l'objet d'un examen de conformité et du visa du maître d'œuvre pour assurer que ces documents respectent bien les dispositions du projet établi par le maître d'œuvre.</w:t>
      </w:r>
    </w:p>
    <w:p>
      <w:pPr>
        <w:pStyle w:val="Normal"/>
        <w:spacing w:lineRule="auto" w:line="240" w:before="0" w:after="0"/>
        <w:rPr>
          <w:rFonts w:cs="Arial"/>
        </w:rPr>
      </w:pPr>
      <w:r>
        <w:rPr>
          <w:rFonts w:cs="Arial"/>
        </w:rPr>
      </w:r>
    </w:p>
    <w:p>
      <w:pPr>
        <w:pStyle w:val="Normal"/>
        <w:spacing w:lineRule="auto" w:line="240" w:before="0" w:after="0"/>
        <w:rPr/>
      </w:pPr>
      <w:r>
        <w:rPr>
          <w:rFonts w:cs="Arial"/>
        </w:rPr>
        <w:t>Par ailleurs, le titulaire devra la réalisation de détails des ouvrages à exécuter autant que nécessaire pendant toute la durée du chantier.</w:t>
      </w:r>
    </w:p>
    <w:p>
      <w:pPr>
        <w:pStyle w:val="Titre2"/>
        <w:numPr>
          <w:ilvl w:val="1"/>
          <w:numId w:val="1"/>
        </w:numPr>
        <w:rPr/>
      </w:pPr>
      <w:bookmarkStart w:id="29" w:name="_Toc215668046"/>
      <w:r>
        <w:rPr/>
        <w:t>Direction de l'Exécution des contrats de Travaux (DET)</w:t>
      </w:r>
      <w:bookmarkEnd w:id="29"/>
      <w:r>
        <w:rPr/>
        <w:t xml:space="preserve"> </w:t>
      </w:r>
    </w:p>
    <w:p>
      <w:pPr>
        <w:pStyle w:val="Normal"/>
        <w:spacing w:lineRule="auto" w:line="240" w:before="0" w:after="0"/>
        <w:rPr>
          <w:rFonts w:cs="Arial"/>
        </w:rPr>
      </w:pPr>
      <w:r>
        <w:rPr>
          <w:rFonts w:cs="Arial"/>
        </w:rPr>
        <w:t>Le maître d'œuvre devra assurer un suivi permanent de la réalisation des travaux.</w:t>
      </w:r>
    </w:p>
    <w:p>
      <w:pPr>
        <w:pStyle w:val="Normal"/>
        <w:spacing w:lineRule="auto" w:line="240" w:before="0" w:after="0"/>
        <w:rPr>
          <w:rFonts w:cs="Arial"/>
        </w:rPr>
      </w:pPr>
      <w:r>
        <w:rPr>
          <w:rFonts w:cs="Arial"/>
        </w:rPr>
      </w:r>
    </w:p>
    <w:p>
      <w:pPr>
        <w:pStyle w:val="Normal"/>
        <w:spacing w:lineRule="auto" w:line="240" w:before="0" w:after="0"/>
        <w:rPr>
          <w:rFonts w:cs="Arial"/>
        </w:rPr>
      </w:pPr>
      <w:r>
        <w:rPr>
          <w:rFonts w:cs="Arial"/>
        </w:rPr>
        <w:t>Il sera chargé notamment :</w:t>
      </w:r>
    </w:p>
    <w:p>
      <w:pPr>
        <w:pStyle w:val="ListParagraph"/>
        <w:numPr>
          <w:ilvl w:val="0"/>
          <w:numId w:val="5"/>
        </w:numPr>
        <w:spacing w:lineRule="auto" w:line="240" w:before="0" w:after="0"/>
        <w:contextualSpacing/>
        <w:rPr>
          <w:rFonts w:cs="Arial"/>
        </w:rPr>
      </w:pPr>
      <w:r>
        <w:rPr>
          <w:rFonts w:cs="Arial"/>
        </w:rPr>
        <w:t>D’informer régulièrement le maître d'ouvrage sur l'état d'avancement des travaux et dépenses ;</w:t>
      </w:r>
    </w:p>
    <w:p>
      <w:pPr>
        <w:pStyle w:val="ListParagraph"/>
        <w:numPr>
          <w:ilvl w:val="0"/>
          <w:numId w:val="5"/>
        </w:numPr>
        <w:spacing w:lineRule="auto" w:line="240" w:before="0" w:after="0"/>
        <w:contextualSpacing/>
        <w:rPr>
          <w:rFonts w:cs="Arial"/>
        </w:rPr>
      </w:pPr>
      <w:r>
        <w:rPr>
          <w:rFonts w:cs="Arial"/>
        </w:rPr>
        <w:t>D’organiser et diriger les réunions de chantier ;</w:t>
      </w:r>
    </w:p>
    <w:p>
      <w:pPr>
        <w:pStyle w:val="ListParagraph"/>
        <w:numPr>
          <w:ilvl w:val="0"/>
          <w:numId w:val="5"/>
        </w:numPr>
        <w:spacing w:lineRule="auto" w:line="240" w:before="0" w:after="0"/>
        <w:contextualSpacing/>
        <w:rPr>
          <w:rFonts w:cs="Arial"/>
        </w:rPr>
      </w:pPr>
      <w:r>
        <w:rPr>
          <w:rFonts w:cs="Arial"/>
        </w:rPr>
        <w:t>De vérifier les projets de décomptes mensuels présentés par les entreprises, d'établir les états d'acomptes ;</w:t>
      </w:r>
    </w:p>
    <w:p>
      <w:pPr>
        <w:pStyle w:val="ListParagraph"/>
        <w:numPr>
          <w:ilvl w:val="0"/>
          <w:numId w:val="5"/>
        </w:numPr>
        <w:spacing w:lineRule="auto" w:line="240" w:before="0" w:after="0"/>
        <w:contextualSpacing/>
        <w:rPr>
          <w:rFonts w:cs="Arial"/>
        </w:rPr>
      </w:pPr>
      <w:r>
        <w:rPr>
          <w:rFonts w:cs="Arial"/>
        </w:rPr>
        <w:t>De s'assurer que l'exécution des travaux est conforme aux prescriptions du contrat de travaux.</w:t>
      </w:r>
    </w:p>
    <w:p>
      <w:pPr>
        <w:pStyle w:val="Titre2"/>
        <w:numPr>
          <w:ilvl w:val="1"/>
          <w:numId w:val="1"/>
        </w:numPr>
        <w:rPr/>
      </w:pPr>
      <w:bookmarkStart w:id="30" w:name="_Toc215668047"/>
      <w:r>
        <w:rPr/>
        <w:t>Assistance aux Opérations de Réception (AOR)</w:t>
      </w:r>
      <w:bookmarkEnd w:id="30"/>
    </w:p>
    <w:p>
      <w:pPr>
        <w:pStyle w:val="Normal"/>
        <w:spacing w:lineRule="auto" w:line="240" w:before="0" w:after="0"/>
        <w:rPr>
          <w:rFonts w:cs="Arial"/>
        </w:rPr>
      </w:pPr>
      <w:r>
        <w:rPr>
          <w:rFonts w:cs="Arial"/>
        </w:rPr>
        <w:t>Le maître d'œuvre sera chargé :</w:t>
      </w:r>
    </w:p>
    <w:p>
      <w:pPr>
        <w:pStyle w:val="ListParagraph"/>
        <w:numPr>
          <w:ilvl w:val="0"/>
          <w:numId w:val="6"/>
        </w:numPr>
        <w:spacing w:lineRule="auto" w:line="240" w:before="0" w:after="0"/>
        <w:contextualSpacing/>
        <w:rPr>
          <w:rFonts w:cs="Arial"/>
        </w:rPr>
      </w:pPr>
      <w:r>
        <w:rPr>
          <w:rFonts w:cs="Arial"/>
        </w:rPr>
        <w:t>D’organiser les réunions techniques sur site ;</w:t>
      </w:r>
    </w:p>
    <w:p>
      <w:pPr>
        <w:pStyle w:val="ListParagraph"/>
        <w:numPr>
          <w:ilvl w:val="0"/>
          <w:numId w:val="6"/>
        </w:numPr>
        <w:spacing w:lineRule="auto" w:line="240" w:before="0" w:after="0"/>
        <w:contextualSpacing/>
        <w:rPr>
          <w:rFonts w:cs="Arial"/>
        </w:rPr>
      </w:pPr>
      <w:r>
        <w:rPr>
          <w:rFonts w:cs="Arial"/>
        </w:rPr>
        <w:t>D’assurer le suivi des réserves formulées lors de ces réunions jusqu’à leur levée.</w:t>
      </w:r>
    </w:p>
    <w:p>
      <w:pPr>
        <w:pStyle w:val="ListParagraph"/>
        <w:numPr>
          <w:ilvl w:val="0"/>
          <w:numId w:val="6"/>
        </w:numPr>
        <w:spacing w:lineRule="auto" w:line="240" w:before="0" w:after="0"/>
        <w:contextualSpacing/>
        <w:rPr>
          <w:rFonts w:cs="Arial"/>
        </w:rPr>
      </w:pPr>
      <w:r>
        <w:rPr>
          <w:rFonts w:cs="Arial"/>
        </w:rPr>
        <w:t>À la livraison complète des ouvrages et équipements :</w:t>
      </w:r>
    </w:p>
    <w:p>
      <w:pPr>
        <w:pStyle w:val="ListParagraph"/>
        <w:numPr>
          <w:ilvl w:val="1"/>
          <w:numId w:val="6"/>
        </w:numPr>
        <w:spacing w:lineRule="auto" w:line="240" w:before="0" w:after="0"/>
        <w:contextualSpacing/>
        <w:rPr>
          <w:rFonts w:cs="Arial"/>
        </w:rPr>
      </w:pPr>
      <w:r>
        <w:rPr>
          <w:rFonts w:cs="Arial"/>
        </w:rPr>
        <w:t>De constituer le dossier des ouvrages exécutés ainsi que les pièces à fournir au Coordonnateur SPS pour la constitution du D.I.U.O.</w:t>
      </w:r>
    </w:p>
    <w:p>
      <w:pPr>
        <w:pStyle w:val="Normal"/>
        <w:spacing w:lineRule="auto" w:line="240" w:before="0" w:after="0"/>
        <w:rPr>
          <w:rFonts w:cs="Arial"/>
        </w:rPr>
      </w:pPr>
      <w:r>
        <w:rPr>
          <w:rFonts w:cs="Arial"/>
        </w:rPr>
      </w:r>
    </w:p>
    <w:p>
      <w:pPr>
        <w:pStyle w:val="Normal"/>
        <w:spacing w:lineRule="auto" w:line="240" w:before="0" w:after="0"/>
        <w:rPr>
          <w:rFonts w:cs="Arial"/>
        </w:rPr>
      </w:pPr>
      <w:r>
        <w:rPr>
          <w:rFonts w:cs="Arial"/>
        </w:rPr>
      </w:r>
    </w:p>
    <w:p>
      <w:pPr>
        <w:pStyle w:val="Normal"/>
        <w:spacing w:lineRule="auto" w:line="240" w:before="0" w:after="0"/>
        <w:rPr>
          <w:rFonts w:cs="Arial"/>
        </w:rPr>
      </w:pPr>
      <w:r>
        <w:rPr>
          <w:rFonts w:cs="Arial"/>
        </w:rPr>
      </w:r>
    </w:p>
    <w:p>
      <w:pPr>
        <w:pStyle w:val="Titre1"/>
        <w:numPr>
          <w:ilvl w:val="0"/>
          <w:numId w:val="1"/>
        </w:numPr>
        <w:rPr/>
      </w:pPr>
      <w:bookmarkStart w:id="31" w:name="_Toc215668048"/>
      <w:r>
        <w:rPr/>
        <w:t>LA COMPOSITION DE L’EQUIPE DE MAITRISE D’ŒUVRE</w:t>
      </w:r>
      <w:bookmarkEnd w:id="31"/>
    </w:p>
    <w:p>
      <w:pPr>
        <w:pStyle w:val="Normal"/>
        <w:rPr/>
      </w:pPr>
      <w:bookmarkStart w:id="32" w:name="_GoBack"/>
      <w:bookmarkStart w:id="33" w:name="_Hlk216952493"/>
      <w:r>
        <w:rPr/>
        <w:t>L’équipe de maitrise d’œuvre devra comprendre a-minima les compétences suivantes :</w:t>
      </w:r>
    </w:p>
    <w:p>
      <w:pPr>
        <w:pStyle w:val="Normal"/>
        <w:numPr>
          <w:ilvl w:val="0"/>
          <w:numId w:val="7"/>
        </w:numPr>
        <w:tabs>
          <w:tab w:val="clear" w:pos="708"/>
          <w:tab w:val="left" w:pos="709" w:leader="none"/>
        </w:tabs>
        <w:spacing w:lineRule="auto" w:line="240" w:before="0" w:after="0"/>
        <w:ind w:left="426" w:hanging="0"/>
        <w:jc w:val="both"/>
        <w:rPr>
          <w:rFonts w:cs="Arial"/>
        </w:rPr>
      </w:pPr>
      <w:bookmarkStart w:id="34" w:name="_Hlk132621970"/>
      <w:bookmarkEnd w:id="34"/>
      <w:r>
        <w:rPr>
          <w:rFonts w:cs="Arial"/>
        </w:rPr>
        <w:t>Plomberie, CVC ;</w:t>
      </w:r>
    </w:p>
    <w:p>
      <w:pPr>
        <w:pStyle w:val="Normal"/>
        <w:numPr>
          <w:ilvl w:val="0"/>
          <w:numId w:val="7"/>
        </w:numPr>
        <w:tabs>
          <w:tab w:val="clear" w:pos="708"/>
          <w:tab w:val="left" w:pos="709" w:leader="none"/>
        </w:tabs>
        <w:spacing w:lineRule="auto" w:line="240" w:before="0" w:after="0"/>
        <w:ind w:left="426" w:hanging="0"/>
        <w:jc w:val="both"/>
        <w:rPr>
          <w:rFonts w:cs="Arial"/>
        </w:rPr>
      </w:pPr>
      <w:r>
        <w:rPr>
          <w:rFonts w:cs="Arial"/>
        </w:rPr>
        <w:t>Electricité ;</w:t>
      </w:r>
    </w:p>
    <w:p>
      <w:pPr>
        <w:pStyle w:val="Normal"/>
        <w:numPr>
          <w:ilvl w:val="0"/>
          <w:numId w:val="7"/>
        </w:numPr>
        <w:tabs>
          <w:tab w:val="clear" w:pos="708"/>
          <w:tab w:val="left" w:pos="709" w:leader="none"/>
        </w:tabs>
        <w:spacing w:lineRule="auto" w:line="240" w:before="0" w:after="0"/>
        <w:ind w:left="426" w:hanging="0"/>
        <w:jc w:val="both"/>
        <w:rPr>
          <w:rFonts w:cs="Arial"/>
        </w:rPr>
      </w:pPr>
      <w:r>
        <w:rPr>
          <w:rFonts w:cs="Arial"/>
        </w:rPr>
        <w:t>Second œuvre intérieur ;</w:t>
      </w:r>
    </w:p>
    <w:p>
      <w:pPr>
        <w:pStyle w:val="Normal"/>
        <w:numPr>
          <w:ilvl w:val="0"/>
          <w:numId w:val="7"/>
        </w:numPr>
        <w:tabs>
          <w:tab w:val="clear" w:pos="708"/>
          <w:tab w:val="left" w:pos="709" w:leader="none"/>
        </w:tabs>
        <w:spacing w:lineRule="auto" w:line="240" w:before="0" w:after="0"/>
        <w:ind w:left="426" w:hanging="0"/>
        <w:jc w:val="both"/>
        <w:rPr>
          <w:rFonts w:cs="Arial"/>
        </w:rPr>
      </w:pPr>
      <w:r>
        <w:rPr>
          <w:rFonts w:cs="Arial"/>
        </w:rPr>
        <w:t>Suivi de chantier en marché public ;</w:t>
      </w:r>
    </w:p>
    <w:p>
      <w:pPr>
        <w:pStyle w:val="Normal"/>
        <w:numPr>
          <w:ilvl w:val="0"/>
          <w:numId w:val="7"/>
        </w:numPr>
        <w:tabs>
          <w:tab w:val="clear" w:pos="708"/>
          <w:tab w:val="left" w:pos="709" w:leader="none"/>
        </w:tabs>
        <w:spacing w:lineRule="auto" w:line="240" w:before="0" w:after="0"/>
        <w:ind w:left="426" w:hanging="0"/>
        <w:jc w:val="both"/>
        <w:rPr>
          <w:rFonts w:cs="Arial"/>
        </w:rPr>
      </w:pPr>
      <w:r>
        <w:rPr>
          <w:rFonts w:cs="Arial"/>
        </w:rPr>
        <w:t>Autres compétences que le candidat jugerait nécessaire.</w:t>
      </w:r>
    </w:p>
    <w:p>
      <w:pPr>
        <w:pStyle w:val="Normal"/>
        <w:spacing w:lineRule="auto" w:line="240" w:before="0" w:after="0"/>
        <w:jc w:val="both"/>
        <w:rPr>
          <w:rFonts w:cs="Arial"/>
        </w:rPr>
      </w:pPr>
      <w:r>
        <w:rPr>
          <w:rFonts w:cs="Arial"/>
        </w:rPr>
      </w:r>
    </w:p>
    <w:p>
      <w:pPr>
        <w:pStyle w:val="Normal"/>
        <w:spacing w:lineRule="auto" w:line="240" w:before="0" w:after="0"/>
        <w:jc w:val="both"/>
        <w:rPr>
          <w:rFonts w:cs="Arial"/>
        </w:rPr>
      </w:pPr>
      <w:bookmarkStart w:id="35" w:name="_GoBack"/>
      <w:bookmarkStart w:id="36" w:name="_Hlk216952493"/>
      <w:r>
        <w:rPr>
          <w:rFonts w:cs="Arial"/>
        </w:rPr>
        <w:t>La présence d’un Architecte n’est pas exigée mais il est attendu une compétence équivalente en matière d’usage, d’esthétique, de pérennité, etc.</w:t>
      </w:r>
      <w:bookmarkEnd w:id="35"/>
      <w:bookmarkEnd w:id="36"/>
    </w:p>
    <w:p>
      <w:pPr>
        <w:pStyle w:val="Normal"/>
        <w:spacing w:lineRule="auto" w:line="240" w:before="0" w:after="0"/>
        <w:jc w:val="both"/>
        <w:rPr>
          <w:rFonts w:cs="Arial"/>
        </w:rPr>
      </w:pPr>
      <w:r>
        <w:rPr>
          <w:rFonts w:cs="Arial"/>
        </w:rPr>
      </w:r>
    </w:p>
    <w:p>
      <w:pPr>
        <w:pStyle w:val="Titre1"/>
        <w:numPr>
          <w:ilvl w:val="0"/>
          <w:numId w:val="1"/>
        </w:numPr>
        <w:rPr/>
      </w:pPr>
      <w:bookmarkStart w:id="37" w:name="_Hlk132621970"/>
      <w:bookmarkStart w:id="38" w:name="_Toc215668049"/>
      <w:bookmarkEnd w:id="37"/>
      <w:r>
        <w:rPr/>
        <w:t>LISTE DES ANNEXES AU PRESENT CAHIER DES CHARGES</w:t>
      </w:r>
      <w:bookmarkEnd w:id="38"/>
    </w:p>
    <w:p>
      <w:pPr>
        <w:pStyle w:val="Normal"/>
        <w:rPr/>
      </w:pPr>
      <w:r>
        <w:rPr/>
        <w:t>- Annexe 1 : Plans des bâtiments</w:t>
      </w:r>
    </w:p>
    <w:p>
      <w:pPr>
        <w:pStyle w:val="Normal"/>
        <w:rPr/>
      </w:pPr>
      <w:r>
        <w:rPr/>
        <w:t>- Annexe 2 : Planning enveloppe</w:t>
      </w:r>
    </w:p>
    <w:p>
      <w:pPr>
        <w:pStyle w:val="Normal"/>
        <w:rPr/>
      </w:pPr>
      <w:r>
        <w:rPr/>
      </w:r>
    </w:p>
    <w:p>
      <w:pPr>
        <w:pStyle w:val="Normal"/>
        <w:rPr/>
      </w:pPr>
      <w:r>
        <w:rPr/>
      </w:r>
    </w:p>
    <w:p>
      <w:pPr>
        <w:pStyle w:val="Normal"/>
        <w:spacing w:lineRule="atLeast" w:line="235" w:before="0" w:after="160"/>
        <w:jc w:val="both"/>
        <w:rPr>
          <w:rFonts w:cs="Arial"/>
        </w:rPr>
      </w:pPr>
      <w:r>
        <w:rPr/>
      </w:r>
    </w:p>
    <w:sectPr>
      <w:headerReference w:type="default" r:id="rId8"/>
      <w:footerReference w:type="default" r:id="rId9"/>
      <w:type w:val="nextPage"/>
      <w:pgSz w:w="11906" w:h="16838"/>
      <w:pgMar w:left="1417" w:right="991" w:gutter="0" w:header="426" w:top="983" w:footer="68" w:bottom="1134"/>
      <w:pgNumType w:fmt="decimal"/>
      <w:formProt w:val="false"/>
      <w:textDirection w:val="lrTb"/>
      <w:docGrid w:type="default" w:linePitch="360" w:charSpace="4096"/>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Calibri">
    <w:charset w:val="00"/>
    <w:family w:val="roman"/>
    <w:pitch w:val="variable"/>
  </w:font>
  <w:font w:name="Arial">
    <w:charset w:val="00"/>
    <w:family w:val="roman"/>
    <w:pitch w:val="variable"/>
  </w:font>
  <w:font w:name="Calibri Light">
    <w:charset w:val="00"/>
    <w:family w:val="roman"/>
    <w:pitch w:val="variable"/>
  </w:font>
  <w:font w:name="Segoe UI">
    <w:charset w:val="00"/>
    <w:family w:val="roman"/>
    <w:pitch w:val="variable"/>
  </w:font>
  <w:font w:name="Liberation Sans">
    <w:altName w:val="Arial"/>
    <w:charset w:val="00"/>
    <w:family w:val="swiss"/>
    <w:pitch w:val="variable"/>
  </w:font>
  <w:font w:name="Calibri Light">
    <w:charset w:val="00"/>
    <w:family w:val="swiss"/>
    <w:pitch w:val="variable"/>
  </w:font>
  <w:font w:name="Comic Sans MS">
    <w:charset w:val="00"/>
    <w:family w:val="roman"/>
    <w:pitch w:val="variable"/>
  </w:font>
  <w:font w:name="Wingdings">
    <w:charset w:val="02"/>
    <w:family w:val="roman"/>
    <w:pitch w:val="variable"/>
  </w:font>
  <w:font w:name="Wingdings">
    <w:charset w:val="02"/>
    <w:family w:val="auto"/>
    <w:pitch w:val="variable"/>
  </w:font>
  <w:font w:name="Courier New">
    <w:charset w:val="01"/>
    <w:family w:val="modern"/>
    <w:pitch w:val="fixed"/>
  </w:font>
  <w:font w:name="Arial">
    <w:charset w:val="01"/>
    <w:family w:val="swiss"/>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sdt>
    <w:sdtPr>
      <w:docPartObj>
        <w:docPartGallery w:val="Page Numbers (Top of Page)"/>
        <w:docPartUnique w:val="true"/>
      </w:docPartObj>
      <w:id w:val="1195382049"/>
    </w:sdtPr>
    <w:sdtContent>
      <w:p>
        <w:pPr>
          <w:pStyle w:val="Pieddepage"/>
          <w:rPr>
            <w:color w:val="7F7F7F" w:themeColor="text1" w:themeTint="80"/>
            <w:sz w:val="18"/>
            <w:szCs w:val="18"/>
          </w:rPr>
        </w:pPr>
        <w:r>
          <w:rPr>
            <w:color w:val="000000"/>
            <w:sz w:val="18"/>
            <w:szCs w:val="18"/>
          </w:rPr>
          <w:t>Op.638 J2 - Cité des Douanes – PORT DE BOUC - Marché MOE – Programme</w:t>
        </w:r>
        <w:r>
          <w:rPr>
            <w:color w:val="7F7F7F" w:themeColor="text1" w:themeTint="80"/>
            <w:sz w:val="18"/>
            <w:szCs w:val="18"/>
          </w:rPr>
          <w:t xml:space="preserve"> </w:t>
          <w:tab/>
          <w:t xml:space="preserve">p </w:t>
        </w:r>
        <w:r>
          <w:rPr>
            <w:b/>
            <w:bCs/>
            <w:color w:val="7F7F7F" w:themeColor="text1" w:themeTint="80"/>
            <w:sz w:val="18"/>
            <w:szCs w:val="18"/>
          </w:rPr>
          <w:fldChar w:fldCharType="begin"/>
        </w:r>
        <w:r>
          <w:rPr>
            <w:sz w:val="18"/>
            <w:b/>
            <w:szCs w:val="18"/>
            <w:bCs/>
            <w:color w:val="7F7F7F"/>
          </w:rPr>
          <w:instrText xml:space="preserve"> PAGE </w:instrText>
        </w:r>
        <w:r>
          <w:rPr>
            <w:sz w:val="18"/>
            <w:b/>
            <w:szCs w:val="18"/>
            <w:bCs/>
            <w:color w:val="7F7F7F"/>
          </w:rPr>
          <w:fldChar w:fldCharType="separate"/>
        </w:r>
        <w:r>
          <w:rPr>
            <w:sz w:val="18"/>
            <w:b/>
            <w:szCs w:val="18"/>
            <w:bCs/>
            <w:color w:val="7F7F7F"/>
          </w:rPr>
          <w:t>8</w:t>
        </w:r>
        <w:r>
          <w:rPr>
            <w:sz w:val="18"/>
            <w:b/>
            <w:szCs w:val="18"/>
            <w:bCs/>
            <w:color w:val="7F7F7F"/>
          </w:rPr>
          <w:fldChar w:fldCharType="end"/>
        </w:r>
        <w:r>
          <w:rPr>
            <w:color w:val="7F7F7F" w:themeColor="text1" w:themeTint="80"/>
            <w:sz w:val="18"/>
            <w:szCs w:val="18"/>
          </w:rPr>
          <w:t xml:space="preserve"> | </w:t>
        </w:r>
        <w:r>
          <w:rPr>
            <w:b/>
            <w:bCs/>
            <w:color w:val="7F7F7F" w:themeColor="text1" w:themeTint="80"/>
            <w:sz w:val="18"/>
            <w:szCs w:val="18"/>
          </w:rPr>
          <w:fldChar w:fldCharType="begin"/>
        </w:r>
        <w:r>
          <w:rPr>
            <w:sz w:val="18"/>
            <w:b/>
            <w:szCs w:val="18"/>
            <w:bCs/>
            <w:color w:val="7F7F7F"/>
          </w:rPr>
          <w:instrText xml:space="preserve"> NUMPAGES </w:instrText>
        </w:r>
        <w:r>
          <w:rPr>
            <w:sz w:val="18"/>
            <w:b/>
            <w:szCs w:val="18"/>
            <w:bCs/>
            <w:color w:val="7F7F7F"/>
          </w:rPr>
          <w:fldChar w:fldCharType="separate"/>
        </w:r>
        <w:r>
          <w:rPr>
            <w:sz w:val="18"/>
            <w:b/>
            <w:szCs w:val="18"/>
            <w:bCs/>
            <w:color w:val="7F7F7F"/>
          </w:rPr>
          <w:t>8</w:t>
        </w:r>
        <w:r>
          <w:rPr>
            <w:sz w:val="18"/>
            <w:b/>
            <w:szCs w:val="18"/>
            <w:bCs/>
            <w:color w:val="7F7F7F"/>
          </w:rPr>
          <w:fldChar w:fldCharType="end"/>
        </w:r>
      </w:p>
    </w:sdtContent>
  </w:sdt>
  <w:p>
    <w:pPr>
      <w:pStyle w:val="Pieddepage"/>
      <w:rPr/>
    </w:pPr>
    <w:r>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En-tte"/>
      <w:rPr/>
    </w:pPr>
    <w:r>
      <w:rPr/>
      <w:t xml:space="preserve">                                                                               </w:t>
    </w:r>
  </w:p>
  <w:p>
    <w:pPr>
      <w:pStyle w:val="En-tte"/>
      <w:rPr/>
    </w:pPr>
    <w:r>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decimal"/>
      <w:lvlText w:val="%1."/>
      <w:lvlJc w:val="left"/>
      <w:pPr>
        <w:tabs>
          <w:tab w:val="num" w:pos="0"/>
        </w:tabs>
        <w:ind w:left="360" w:hanging="360"/>
      </w:pPr>
      <w:rPr/>
    </w:lvl>
    <w:lvl w:ilvl="1">
      <w:start w:val="1"/>
      <w:numFmt w:val="decimal"/>
      <w:lvlText w:val="%1.%2."/>
      <w:lvlJc w:val="left"/>
      <w:pPr>
        <w:tabs>
          <w:tab w:val="num" w:pos="0"/>
        </w:tabs>
        <w:ind w:left="432" w:hanging="432"/>
      </w:pPr>
      <w:rPr/>
    </w:lvl>
    <w:lvl w:ilvl="2">
      <w:start w:val="1"/>
      <w:numFmt w:val="decimal"/>
      <w:lvlText w:val="%1.%2.%3."/>
      <w:lvlJc w:val="left"/>
      <w:pPr>
        <w:tabs>
          <w:tab w:val="num" w:pos="0"/>
        </w:tabs>
        <w:ind w:left="1072" w:hanging="504"/>
      </w:pPr>
      <w:rPr>
        <w:smallCaps w:val="false"/>
        <w:caps w:val="false"/>
        <w:dstrike w:val="false"/>
        <w:strike w:val="false"/>
        <w:vertAlign w:val="baseline"/>
        <w:position w:val="0"/>
        <w:sz w:val="22"/>
        <w:spacing w:val="0"/>
        <w:i w:val="false"/>
        <w:u w:val="none"/>
        <w:b w:val="false"/>
        <w:kern w:val="0"/>
        <w:effect w:val="none"/>
        <w:iCs w:val="false"/>
        <w:bCs w:val="false"/>
        <w:em w:val="none"/>
        <w:vanish w:val="false"/>
        <w:color w:val="7F7F7F" w:themeColor="text1" w:themeTint="80"/>
        <w14:cntxtAlts>
          <w14:cntxtAlts/>
        </w14:cntxtAlts>
        <w14:glow w14:rad="0">
          <w14:srgbClr w14:val="000000"/>
        </w14:glow>
        <w14:ligatures w14:val="none"/>
        <w14:numForm w14:val="default"/>
        <w14:numSpacing w14:val="default"/>
        <w14:props3d w14:extrusionH="0" w14:contourW="0" w14:prstMaterial="none"/>
        <w14:reflection w14:blurRad="0" w14:stA="0" w14:stPos="0" w14:endA="0" w14:endPos="0" w14:dist="0" w14:dir="0" w14:fadeDir="0" w14:sx="0" w14:sy="0" w14:kx="0" w14:ky="0" w14:algn="none"/>
        <w14:scene3d>
          <w14:camera w14:prst="orthographicFront"/>
          <w14:lightRig w14:rig="threePt" w14:dir="t">
            <w14:rot w14:lat="0" w14:lon="0" w14:rev="0"/>
          </w14:lightRig>
        </w14:scene3d>
        <w14:shadow w14:blurRad="0" w14:dist="0" w14:dir="0" w14:sx="0" w14:sy="0" w14:kx="0" w14:ky="0" w14:algn="none">
          <w14:srgbClr w14:val="000000"/>
        </w14:shadow>
        <w14:stylisticSets/>
        <w14:textOutline w14:w="0" w14:cap="rnd" w14:cmpd="sng" w14:algn="ctr">
          <w14:noFill/>
          <w14:prstDash w14:val="solid"/>
          <w14:bevel/>
        </w14:textOutline>
      </w:rPr>
    </w:lvl>
    <w:lvl w:ilvl="3">
      <w:start w:val="1"/>
      <w:numFmt w:val="decimal"/>
      <w:lvlText w:val="%1.%2.%3.%4."/>
      <w:lvlJc w:val="left"/>
      <w:pPr>
        <w:tabs>
          <w:tab w:val="num" w:pos="0"/>
        </w:tabs>
        <w:ind w:left="1728" w:hanging="648"/>
      </w:pPr>
      <w:rPr>
        <w:rFonts w:ascii="Arial" w:hAnsi="Arial" w:cs="Arial"/>
        <w:color w:val="auto"/>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2">
    <w:lvl w:ilvl="0">
      <w:start w:val="1"/>
      <w:numFmt w:val="bullet"/>
      <w:lvlText w:val=""/>
      <w:lvlJc w:val="left"/>
      <w:pPr>
        <w:tabs>
          <w:tab w:val="num" w:pos="0"/>
        </w:tabs>
        <w:ind w:left="720" w:hanging="360"/>
      </w:pPr>
      <w:rPr>
        <w:rFonts w:ascii="Wingdings" w:hAnsi="Wingdings" w:cs="Wingdings"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3">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
    <w:lvl w:ilvl="0">
      <w:start w:val="1"/>
      <w:numFmt w:val="bullet"/>
      <w:lvlText w:val="-"/>
      <w:lvlJc w:val="left"/>
      <w:pPr>
        <w:tabs>
          <w:tab w:val="num" w:pos="2910"/>
        </w:tabs>
        <w:ind w:left="2910" w:hanging="360"/>
      </w:pPr>
      <w:rPr>
        <w:rFonts w:ascii="Arial" w:hAnsi="Arial" w:cs="Arial" w:hint="default"/>
      </w:rPr>
    </w:lvl>
    <w:lvl w:ilvl="1">
      <w:start w:val="1"/>
      <w:numFmt w:val="bullet"/>
      <w:lvlText w:val="o"/>
      <w:lvlJc w:val="left"/>
      <w:pPr>
        <w:tabs>
          <w:tab w:val="num" w:pos="3630"/>
        </w:tabs>
        <w:ind w:left="3630" w:hanging="360"/>
      </w:pPr>
      <w:rPr>
        <w:rFonts w:ascii="Courier New" w:hAnsi="Courier New" w:cs="Courier New" w:hint="default"/>
      </w:rPr>
    </w:lvl>
    <w:lvl w:ilvl="2">
      <w:start w:val="1"/>
      <w:numFmt w:val="bullet"/>
      <w:lvlText w:val=""/>
      <w:lvlJc w:val="left"/>
      <w:pPr>
        <w:tabs>
          <w:tab w:val="num" w:pos="4350"/>
        </w:tabs>
        <w:ind w:left="4350" w:hanging="360"/>
      </w:pPr>
      <w:rPr>
        <w:rFonts w:ascii="Wingdings" w:hAnsi="Wingdings" w:cs="Wingdings" w:hint="default"/>
      </w:rPr>
    </w:lvl>
    <w:lvl w:ilvl="3">
      <w:start w:val="1"/>
      <w:numFmt w:val="bullet"/>
      <w:lvlText w:val=""/>
      <w:lvlJc w:val="left"/>
      <w:pPr>
        <w:tabs>
          <w:tab w:val="num" w:pos="5070"/>
        </w:tabs>
        <w:ind w:left="5070" w:hanging="360"/>
      </w:pPr>
      <w:rPr>
        <w:rFonts w:ascii="Symbol" w:hAnsi="Symbol" w:cs="Symbol" w:hint="default"/>
      </w:rPr>
    </w:lvl>
    <w:lvl w:ilvl="4">
      <w:start w:val="1"/>
      <w:numFmt w:val="bullet"/>
      <w:lvlText w:val="o"/>
      <w:lvlJc w:val="left"/>
      <w:pPr>
        <w:tabs>
          <w:tab w:val="num" w:pos="5790"/>
        </w:tabs>
        <w:ind w:left="5790" w:hanging="360"/>
      </w:pPr>
      <w:rPr>
        <w:rFonts w:ascii="Courier New" w:hAnsi="Courier New" w:cs="Courier New" w:hint="default"/>
      </w:rPr>
    </w:lvl>
    <w:lvl w:ilvl="5">
      <w:start w:val="1"/>
      <w:numFmt w:val="bullet"/>
      <w:lvlText w:val=""/>
      <w:lvlJc w:val="left"/>
      <w:pPr>
        <w:tabs>
          <w:tab w:val="num" w:pos="6510"/>
        </w:tabs>
        <w:ind w:left="6510" w:hanging="360"/>
      </w:pPr>
      <w:rPr>
        <w:rFonts w:ascii="Wingdings" w:hAnsi="Wingdings" w:cs="Wingdings" w:hint="default"/>
      </w:rPr>
    </w:lvl>
    <w:lvl w:ilvl="6">
      <w:start w:val="1"/>
      <w:numFmt w:val="bullet"/>
      <w:lvlText w:val=""/>
      <w:lvlJc w:val="left"/>
      <w:pPr>
        <w:tabs>
          <w:tab w:val="num" w:pos="7230"/>
        </w:tabs>
        <w:ind w:left="7230" w:hanging="360"/>
      </w:pPr>
      <w:rPr>
        <w:rFonts w:ascii="Symbol" w:hAnsi="Symbol" w:cs="Symbol" w:hint="default"/>
      </w:rPr>
    </w:lvl>
    <w:lvl w:ilvl="7">
      <w:start w:val="1"/>
      <w:numFmt w:val="bullet"/>
      <w:lvlText w:val="o"/>
      <w:lvlJc w:val="left"/>
      <w:pPr>
        <w:tabs>
          <w:tab w:val="num" w:pos="7950"/>
        </w:tabs>
        <w:ind w:left="7950" w:hanging="360"/>
      </w:pPr>
      <w:rPr>
        <w:rFonts w:ascii="Courier New" w:hAnsi="Courier New" w:cs="Courier New" w:hint="default"/>
      </w:rPr>
    </w:lvl>
    <w:lvl w:ilvl="8">
      <w:start w:val="1"/>
      <w:numFmt w:val="bullet"/>
      <w:lvlText w:val=""/>
      <w:lvlJc w:val="left"/>
      <w:pPr>
        <w:tabs>
          <w:tab w:val="num" w:pos="8670"/>
        </w:tabs>
        <w:ind w:left="8670" w:hanging="360"/>
      </w:pPr>
      <w:rPr>
        <w:rFonts w:ascii="Wingdings" w:hAnsi="Wingdings" w:cs="Wingdings" w:hint="default"/>
      </w:rPr>
    </w:lvl>
  </w:abstractNum>
  <w:abstractNum w:abstractNumId="8">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lvl w:ilvl="0">
      <w:numFmt w:val="bullet"/>
      <w:lvlText w:val="-"/>
      <w:lvlJc w:val="left"/>
      <w:pPr>
        <w:tabs>
          <w:tab w:val="num" w:pos="0"/>
        </w:tabs>
        <w:ind w:left="720" w:hanging="360"/>
      </w:pPr>
      <w:rPr>
        <w:rFonts w:ascii="Arial" w:hAnsi="Arial" w:cs="Arial" w:hint="default"/>
        <w:rFonts w:eastAsiaTheme="minorHAnsi"/>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bering>
</file>

<file path=word/settings.xml><?xml version="1.0" encoding="utf-8"?>
<w:settings xmlns:w="http://schemas.openxmlformats.org/wordprocessingml/2006/main">
  <w:zoom w:percent="100"/>
  <w:defaultTabStop w:val="708"/>
  <w:autoHyphenation w:val="true"/>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themeFontLang w:val="fr-FR"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 w:asciiTheme="minorHAnsi" w:cstheme="minorBidi" w:eastAsiaTheme="minorHAnsi" w:hAnsiTheme="minorHAnsi"/>
        <w:sz w:val="22"/>
        <w:szCs w:val="22"/>
        <w:lang w:val="fr-FR" w:eastAsia="en-US" w:bidi="ar-SA"/>
      </w:rPr>
    </w:rPrDefault>
    <w:pPrDefault>
      <w:pPr>
        <w:suppressAutoHyphens w:val="true"/>
      </w:pPr>
    </w:pPrDefault>
  </w:docDefaults>
  <w:latentStyles w:defLockedState="0" w:defUIPriority="99" w:defSemiHidden="0" w:defUnhideWhenUsed="0" w:defQFormat="0" w:count="375">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1"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styleId="Normal" w:default="1">
    <w:name w:val="Normal"/>
    <w:qFormat/>
    <w:rsid w:val="00217567"/>
    <w:pPr>
      <w:widowControl/>
      <w:bidi w:val="0"/>
      <w:spacing w:lineRule="auto" w:line="259" w:before="0" w:after="160"/>
      <w:jc w:val="left"/>
    </w:pPr>
    <w:rPr>
      <w:rFonts w:ascii="Arial" w:hAnsi="Arial" w:eastAsia="Calibri" w:cs="" w:cstheme="minorBidi" w:eastAsiaTheme="minorHAnsi"/>
      <w:color w:val="auto"/>
      <w:kern w:val="0"/>
      <w:sz w:val="22"/>
      <w:szCs w:val="22"/>
      <w:lang w:val="fr-FR" w:eastAsia="en-US" w:bidi="ar-SA"/>
    </w:rPr>
  </w:style>
  <w:style w:type="paragraph" w:styleId="Titre1">
    <w:name w:val="Heading 1"/>
    <w:basedOn w:val="ListParagraph"/>
    <w:next w:val="Normal"/>
    <w:link w:val="Titre1Car"/>
    <w:uiPriority w:val="9"/>
    <w:qFormat/>
    <w:rsid w:val="0077501f"/>
    <w:pPr>
      <w:numPr>
        <w:ilvl w:val="0"/>
        <w:numId w:val="1"/>
      </w:numPr>
      <w:spacing w:before="360" w:after="240"/>
      <w:contextualSpacing w:val="false"/>
      <w:outlineLvl w:val="0"/>
    </w:pPr>
    <w:rPr>
      <w:rFonts w:cs="Arial"/>
      <w:b/>
      <w:color w:val="ED7D31" w:themeColor="accent2"/>
    </w:rPr>
  </w:style>
  <w:style w:type="paragraph" w:styleId="Titre2">
    <w:name w:val="Heading 2"/>
    <w:basedOn w:val="ListParagraph"/>
    <w:next w:val="Normal"/>
    <w:link w:val="Titre2Car"/>
    <w:uiPriority w:val="9"/>
    <w:unhideWhenUsed/>
    <w:qFormat/>
    <w:rsid w:val="0077501f"/>
    <w:pPr>
      <w:numPr>
        <w:ilvl w:val="1"/>
        <w:numId w:val="1"/>
      </w:numPr>
      <w:spacing w:before="240" w:after="120"/>
      <w:contextualSpacing w:val="false"/>
      <w:outlineLvl w:val="1"/>
    </w:pPr>
    <w:rPr>
      <w:b/>
      <w:color w:val="4472C4" w:themeColor="accent1"/>
    </w:rPr>
  </w:style>
  <w:style w:type="paragraph" w:styleId="Titre3">
    <w:name w:val="Heading 3"/>
    <w:basedOn w:val="Normal"/>
    <w:next w:val="Normal"/>
    <w:link w:val="Titre3Car"/>
    <w:uiPriority w:val="9"/>
    <w:unhideWhenUsed/>
    <w:qFormat/>
    <w:rsid w:val="002440c7"/>
    <w:pPr>
      <w:keepNext w:val="true"/>
      <w:keepLines/>
      <w:numPr>
        <w:ilvl w:val="2"/>
        <w:numId w:val="1"/>
      </w:numPr>
      <w:spacing w:before="240" w:after="120"/>
      <w:outlineLvl w:val="2"/>
    </w:pPr>
    <w:rPr>
      <w:rFonts w:eastAsia="" w:cs="" w:cstheme="majorBidi" w:eastAsiaTheme="majorEastAsia"/>
      <w:b/>
      <w:i/>
      <w:color w:val="000000" w:themeColor="text1"/>
      <w:szCs w:val="24"/>
    </w:rPr>
  </w:style>
  <w:style w:type="paragraph" w:styleId="Titre4">
    <w:name w:val="Heading 4"/>
    <w:basedOn w:val="Normal"/>
    <w:next w:val="Normal"/>
    <w:link w:val="Titre4Car"/>
    <w:uiPriority w:val="9"/>
    <w:unhideWhenUsed/>
    <w:qFormat/>
    <w:rsid w:val="00710adb"/>
    <w:pPr>
      <w:keepNext w:val="true"/>
      <w:keepLines/>
      <w:numPr>
        <w:ilvl w:val="3"/>
        <w:numId w:val="1"/>
      </w:numPr>
      <w:spacing w:before="240" w:after="120"/>
      <w:outlineLvl w:val="3"/>
    </w:pPr>
    <w:rPr>
      <w:rFonts w:ascii="Calibri Light" w:hAnsi="Calibri Light" w:eastAsia="" w:cs="" w:asciiTheme="majorHAnsi" w:cstheme="majorBidi" w:eastAsiaTheme="majorEastAsia" w:hAnsiTheme="majorHAnsi"/>
      <w:i/>
      <w:iCs/>
      <w:color w:val="2F5496" w:themeColor="accent1" w:themeShade="bf"/>
    </w:rPr>
  </w:style>
  <w:style w:type="paragraph" w:styleId="Titre5">
    <w:name w:val="Heading 5"/>
    <w:basedOn w:val="Normal"/>
    <w:next w:val="Normal"/>
    <w:link w:val="Titre5Car"/>
    <w:uiPriority w:val="9"/>
    <w:unhideWhenUsed/>
    <w:qFormat/>
    <w:rsid w:val="00531901"/>
    <w:pPr>
      <w:keepNext w:val="true"/>
      <w:keepLines/>
      <w:spacing w:before="40" w:after="0"/>
      <w:outlineLvl w:val="4"/>
    </w:pPr>
    <w:rPr>
      <w:rFonts w:ascii="Calibri Light" w:hAnsi="Calibri Light" w:eastAsia="" w:cs="" w:asciiTheme="majorHAnsi" w:cstheme="majorBidi" w:eastAsiaTheme="majorEastAsia" w:hAnsiTheme="majorHAnsi"/>
      <w:color w:val="2F5496" w:themeColor="accent1" w:themeShade="bf"/>
    </w:rPr>
  </w:style>
  <w:style w:type="character" w:styleId="DefaultParagraphFont" w:default="1">
    <w:name w:val="Default Paragraph Font"/>
    <w:uiPriority w:val="1"/>
    <w:semiHidden/>
    <w:unhideWhenUsed/>
    <w:qFormat/>
    <w:rPr/>
  </w:style>
  <w:style w:type="character" w:styleId="Titre1Car" w:customStyle="1">
    <w:name w:val="Titre 1 Car"/>
    <w:basedOn w:val="DefaultParagraphFont"/>
    <w:uiPriority w:val="9"/>
    <w:qFormat/>
    <w:rsid w:val="0077501f"/>
    <w:rPr>
      <w:rFonts w:ascii="Arial" w:hAnsi="Arial" w:cs="Arial"/>
      <w:b/>
      <w:color w:val="ED7D31" w:themeColor="accent2"/>
    </w:rPr>
  </w:style>
  <w:style w:type="character" w:styleId="En-tteCar" w:customStyle="1">
    <w:name w:val="En-tête Car"/>
    <w:basedOn w:val="DefaultParagraphFont"/>
    <w:uiPriority w:val="99"/>
    <w:qFormat/>
    <w:rsid w:val="003a53de"/>
    <w:rPr>
      <w:rFonts w:ascii="Arial" w:hAnsi="Arial"/>
    </w:rPr>
  </w:style>
  <w:style w:type="character" w:styleId="PieddepageCar" w:customStyle="1">
    <w:name w:val="Pied de page Car"/>
    <w:basedOn w:val="DefaultParagraphFont"/>
    <w:uiPriority w:val="99"/>
    <w:qFormat/>
    <w:rsid w:val="003a53de"/>
    <w:rPr>
      <w:rFonts w:ascii="Arial" w:hAnsi="Arial"/>
    </w:rPr>
  </w:style>
  <w:style w:type="character" w:styleId="LienInternet">
    <w:name w:val="Hyperlink"/>
    <w:basedOn w:val="DefaultParagraphFont"/>
    <w:uiPriority w:val="99"/>
    <w:unhideWhenUsed/>
    <w:rsid w:val="00bb1e35"/>
    <w:rPr>
      <w:color w:val="0563C1" w:themeColor="hyperlink"/>
      <w:u w:val="single"/>
    </w:rPr>
  </w:style>
  <w:style w:type="character" w:styleId="Titre2Car" w:customStyle="1">
    <w:name w:val="Titre 2 Car"/>
    <w:basedOn w:val="DefaultParagraphFont"/>
    <w:uiPriority w:val="9"/>
    <w:qFormat/>
    <w:rsid w:val="0077501f"/>
    <w:rPr>
      <w:rFonts w:ascii="Arial" w:hAnsi="Arial"/>
      <w:b/>
      <w:color w:val="4472C4" w:themeColor="accent1"/>
    </w:rPr>
  </w:style>
  <w:style w:type="character" w:styleId="CorpsdetexteCar" w:customStyle="1">
    <w:name w:val="Corps de texte Car"/>
    <w:basedOn w:val="DefaultParagraphFont"/>
    <w:uiPriority w:val="1"/>
    <w:qFormat/>
    <w:rsid w:val="00e02f38"/>
    <w:rPr>
      <w:rFonts w:ascii="Calibri" w:hAnsi="Calibri" w:eastAsia="Calibri" w:cs="Calibri"/>
      <w:sz w:val="12"/>
      <w:szCs w:val="12"/>
    </w:rPr>
  </w:style>
  <w:style w:type="character" w:styleId="Titre3Car" w:customStyle="1">
    <w:name w:val="Titre 3 Car"/>
    <w:basedOn w:val="DefaultParagraphFont"/>
    <w:uiPriority w:val="9"/>
    <w:qFormat/>
    <w:rsid w:val="002440c7"/>
    <w:rPr>
      <w:rFonts w:ascii="Arial" w:hAnsi="Arial" w:eastAsia="" w:cs="" w:cstheme="majorBidi" w:eastAsiaTheme="majorEastAsia"/>
      <w:b/>
      <w:i/>
      <w:color w:val="000000" w:themeColor="text1"/>
      <w:szCs w:val="24"/>
    </w:rPr>
  </w:style>
  <w:style w:type="character" w:styleId="Accentuationforte" w:customStyle="1">
    <w:name w:val="Strong"/>
    <w:qFormat/>
    <w:rsid w:val="002f04d5"/>
    <w:rPr>
      <w:b/>
      <w:bCs/>
    </w:rPr>
  </w:style>
  <w:style w:type="character" w:styleId="TextedebullesCar" w:customStyle="1">
    <w:name w:val="Texte de bulles Car"/>
    <w:basedOn w:val="DefaultParagraphFont"/>
    <w:link w:val="BalloonText"/>
    <w:uiPriority w:val="99"/>
    <w:semiHidden/>
    <w:qFormat/>
    <w:rsid w:val="00eb3613"/>
    <w:rPr>
      <w:rFonts w:ascii="Segoe UI" w:hAnsi="Segoe UI" w:cs="Segoe UI"/>
      <w:sz w:val="18"/>
      <w:szCs w:val="18"/>
    </w:rPr>
  </w:style>
  <w:style w:type="character" w:styleId="Titre4Car" w:customStyle="1">
    <w:name w:val="Titre 4 Car"/>
    <w:basedOn w:val="DefaultParagraphFont"/>
    <w:uiPriority w:val="9"/>
    <w:qFormat/>
    <w:rsid w:val="00710adb"/>
    <w:rPr>
      <w:rFonts w:ascii="Calibri Light" w:hAnsi="Calibri Light" w:eastAsia="" w:cs="" w:asciiTheme="majorHAnsi" w:cstheme="majorBidi" w:eastAsiaTheme="majorEastAsia" w:hAnsiTheme="majorHAnsi"/>
      <w:i/>
      <w:iCs/>
      <w:color w:val="2F5496" w:themeColor="accent1" w:themeShade="bf"/>
    </w:rPr>
  </w:style>
  <w:style w:type="character" w:styleId="Annotationreference">
    <w:name w:val="annotation reference"/>
    <w:basedOn w:val="DefaultParagraphFont"/>
    <w:uiPriority w:val="99"/>
    <w:semiHidden/>
    <w:unhideWhenUsed/>
    <w:qFormat/>
    <w:rsid w:val="008b6a48"/>
    <w:rPr>
      <w:sz w:val="16"/>
      <w:szCs w:val="16"/>
    </w:rPr>
  </w:style>
  <w:style w:type="character" w:styleId="CommentaireCar" w:customStyle="1">
    <w:name w:val="Commentaire Car"/>
    <w:basedOn w:val="DefaultParagraphFont"/>
    <w:link w:val="Annotationtext"/>
    <w:uiPriority w:val="99"/>
    <w:semiHidden/>
    <w:qFormat/>
    <w:rsid w:val="008b6a48"/>
    <w:rPr>
      <w:rFonts w:ascii="Arial" w:hAnsi="Arial"/>
      <w:sz w:val="20"/>
      <w:szCs w:val="20"/>
    </w:rPr>
  </w:style>
  <w:style w:type="character" w:styleId="ObjetducommentaireCar" w:customStyle="1">
    <w:name w:val="Objet du commentaire Car"/>
    <w:basedOn w:val="CommentaireCar"/>
    <w:link w:val="Annotationsubject"/>
    <w:uiPriority w:val="99"/>
    <w:semiHidden/>
    <w:qFormat/>
    <w:rsid w:val="008b6a48"/>
    <w:rPr>
      <w:rFonts w:ascii="Arial" w:hAnsi="Arial"/>
      <w:b/>
      <w:bCs/>
      <w:sz w:val="20"/>
      <w:szCs w:val="20"/>
    </w:rPr>
  </w:style>
  <w:style w:type="character" w:styleId="Titre5Car" w:customStyle="1">
    <w:name w:val="Titre 5 Car"/>
    <w:basedOn w:val="DefaultParagraphFont"/>
    <w:uiPriority w:val="9"/>
    <w:qFormat/>
    <w:rsid w:val="00531901"/>
    <w:rPr>
      <w:rFonts w:ascii="Calibri Light" w:hAnsi="Calibri Light" w:eastAsia="" w:cs="" w:asciiTheme="majorHAnsi" w:cstheme="majorBidi" w:eastAsiaTheme="majorEastAsia" w:hAnsiTheme="majorHAnsi"/>
      <w:color w:val="2F5496" w:themeColor="accent1" w:themeShade="bf"/>
    </w:rPr>
  </w:style>
  <w:style w:type="character" w:styleId="Mentionnonrsolue1" w:customStyle="1">
    <w:name w:val="Mention non résolue1"/>
    <w:basedOn w:val="DefaultParagraphFont"/>
    <w:uiPriority w:val="99"/>
    <w:semiHidden/>
    <w:unhideWhenUsed/>
    <w:qFormat/>
    <w:rsid w:val="00ce14ce"/>
    <w:rPr>
      <w:color w:val="605E5C"/>
      <w:shd w:fill="E1DFDD" w:val="clear"/>
    </w:rPr>
  </w:style>
  <w:style w:type="character" w:styleId="Strong">
    <w:name w:val="Strong"/>
    <w:basedOn w:val="DefaultParagraphFont"/>
    <w:uiPriority w:val="22"/>
    <w:qFormat/>
    <w:rsid w:val="002440c7"/>
    <w:rPr>
      <w:b/>
      <w:bCs/>
    </w:rPr>
  </w:style>
  <w:style w:type="character" w:styleId="Accentuation">
    <w:name w:val="Emphasis"/>
    <w:basedOn w:val="DefaultParagraphFont"/>
    <w:uiPriority w:val="20"/>
    <w:qFormat/>
    <w:rsid w:val="00b5717d"/>
    <w:rPr>
      <w:i/>
      <w:iCs/>
    </w:rPr>
  </w:style>
  <w:style w:type="character" w:styleId="Sautdindex">
    <w:name w:val="Saut d'index"/>
    <w:qFormat/>
    <w:rPr/>
  </w:style>
  <w:style w:type="paragraph" w:styleId="Titre">
    <w:name w:val="Titre"/>
    <w:basedOn w:val="Normal"/>
    <w:next w:val="Corpsdetexte"/>
    <w:qFormat/>
    <w:pPr>
      <w:keepNext w:val="true"/>
      <w:spacing w:before="240" w:after="120"/>
    </w:pPr>
    <w:rPr>
      <w:rFonts w:ascii="Liberation Sans" w:hAnsi="Liberation Sans" w:eastAsia="Microsoft YaHei" w:cs="Arial"/>
      <w:sz w:val="28"/>
      <w:szCs w:val="28"/>
    </w:rPr>
  </w:style>
  <w:style w:type="paragraph" w:styleId="Corpsdetexte">
    <w:name w:val="Body Text"/>
    <w:basedOn w:val="Normal"/>
    <w:link w:val="CorpsdetexteCar"/>
    <w:uiPriority w:val="1"/>
    <w:qFormat/>
    <w:rsid w:val="00e02f38"/>
    <w:pPr>
      <w:widowControl w:val="false"/>
      <w:spacing w:lineRule="auto" w:line="240" w:before="0" w:after="0"/>
    </w:pPr>
    <w:rPr>
      <w:rFonts w:ascii="Calibri" w:hAnsi="Calibri" w:eastAsia="Calibri" w:cs="Calibri"/>
      <w:sz w:val="12"/>
      <w:szCs w:val="12"/>
    </w:rPr>
  </w:style>
  <w:style w:type="paragraph" w:styleId="Liste">
    <w:name w:val="List"/>
    <w:basedOn w:val="Corpsdetexte"/>
    <w:pPr/>
    <w:rPr>
      <w:rFonts w:cs="Arial"/>
    </w:rPr>
  </w:style>
  <w:style w:type="paragraph" w:styleId="Lgende">
    <w:name w:val="Caption"/>
    <w:basedOn w:val="Normal"/>
    <w:qFormat/>
    <w:pPr>
      <w:suppressLineNumbers/>
      <w:spacing w:before="120" w:after="120"/>
    </w:pPr>
    <w:rPr>
      <w:rFonts w:cs="Arial"/>
      <w:i/>
      <w:iCs/>
      <w:sz w:val="24"/>
      <w:szCs w:val="24"/>
    </w:rPr>
  </w:style>
  <w:style w:type="paragraph" w:styleId="Index">
    <w:name w:val="Index"/>
    <w:basedOn w:val="Normal"/>
    <w:qFormat/>
    <w:pPr>
      <w:suppressLineNumbers/>
    </w:pPr>
    <w:rPr>
      <w:rFonts w:cs="Arial"/>
    </w:rPr>
  </w:style>
  <w:style w:type="paragraph" w:styleId="ListParagraph">
    <w:name w:val="List Paragraph"/>
    <w:basedOn w:val="Normal"/>
    <w:uiPriority w:val="34"/>
    <w:qFormat/>
    <w:rsid w:val="00291ffb"/>
    <w:pPr>
      <w:spacing w:before="0" w:after="160"/>
      <w:ind w:left="720" w:hanging="0"/>
      <w:contextualSpacing/>
    </w:pPr>
    <w:rPr/>
  </w:style>
  <w:style w:type="paragraph" w:styleId="En-tteetpieddepage">
    <w:name w:val="En-tête et pied de page"/>
    <w:basedOn w:val="Normal"/>
    <w:qFormat/>
    <w:pPr/>
    <w:rPr/>
  </w:style>
  <w:style w:type="paragraph" w:styleId="En-tte">
    <w:name w:val="Header"/>
    <w:basedOn w:val="Normal"/>
    <w:link w:val="En-tteCar"/>
    <w:uiPriority w:val="99"/>
    <w:unhideWhenUsed/>
    <w:rsid w:val="003a53de"/>
    <w:pPr>
      <w:tabs>
        <w:tab w:val="clear" w:pos="708"/>
        <w:tab w:val="center" w:pos="4536" w:leader="none"/>
        <w:tab w:val="right" w:pos="9072" w:leader="none"/>
      </w:tabs>
      <w:spacing w:lineRule="auto" w:line="240" w:before="0" w:after="0"/>
    </w:pPr>
    <w:rPr/>
  </w:style>
  <w:style w:type="paragraph" w:styleId="Pieddepage">
    <w:name w:val="Footer"/>
    <w:basedOn w:val="Normal"/>
    <w:link w:val="PieddepageCar"/>
    <w:uiPriority w:val="99"/>
    <w:unhideWhenUsed/>
    <w:rsid w:val="003a53de"/>
    <w:pPr>
      <w:tabs>
        <w:tab w:val="clear" w:pos="708"/>
        <w:tab w:val="center" w:pos="4536" w:leader="none"/>
        <w:tab w:val="right" w:pos="9072" w:leader="none"/>
      </w:tabs>
      <w:spacing w:lineRule="auto" w:line="240" w:before="0" w:after="0"/>
    </w:pPr>
    <w:rPr/>
  </w:style>
  <w:style w:type="paragraph" w:styleId="Indexlexicaltitre">
    <w:name w:val="Index Heading"/>
    <w:basedOn w:val="Titre"/>
    <w:pPr/>
    <w:rPr/>
  </w:style>
  <w:style w:type="paragraph" w:styleId="Titredetabledesmatires">
    <w:name w:val="TOC Heading"/>
    <w:basedOn w:val="Titre1"/>
    <w:next w:val="Normal"/>
    <w:uiPriority w:val="39"/>
    <w:unhideWhenUsed/>
    <w:qFormat/>
    <w:rsid w:val="00bb1e35"/>
    <w:pPr>
      <w:keepNext w:val="true"/>
      <w:keepLines/>
      <w:numPr>
        <w:ilvl w:val="0"/>
        <w:numId w:val="0"/>
      </w:numPr>
      <w:spacing w:before="240" w:after="0"/>
      <w:ind w:left="720" w:hanging="0"/>
      <w:outlineLvl w:val="9"/>
    </w:pPr>
    <w:rPr>
      <w:rFonts w:ascii="Calibri Light" w:hAnsi="Calibri Light" w:eastAsia="" w:cs="" w:asciiTheme="majorHAnsi" w:cstheme="majorBidi" w:eastAsiaTheme="majorEastAsia" w:hAnsiTheme="majorHAnsi"/>
      <w:b w:val="false"/>
      <w:sz w:val="32"/>
      <w:szCs w:val="32"/>
      <w:lang w:eastAsia="fr-FR"/>
    </w:rPr>
  </w:style>
  <w:style w:type="paragraph" w:styleId="Tabledesmatiresniveau1">
    <w:name w:val="TOC 1"/>
    <w:basedOn w:val="Normal"/>
    <w:next w:val="Normal"/>
    <w:autoRedefine/>
    <w:uiPriority w:val="39"/>
    <w:unhideWhenUsed/>
    <w:rsid w:val="00bb1e35"/>
    <w:pPr>
      <w:spacing w:before="0" w:after="100"/>
    </w:pPr>
    <w:rPr/>
  </w:style>
  <w:style w:type="paragraph" w:styleId="Standard" w:customStyle="1">
    <w:name w:val="Standard"/>
    <w:qFormat/>
    <w:rsid w:val="005a617e"/>
    <w:pPr>
      <w:widowControl w:val="false"/>
      <w:suppressAutoHyphens w:val="true"/>
      <w:bidi w:val="0"/>
      <w:spacing w:lineRule="auto" w:line="240" w:before="0" w:after="0"/>
      <w:jc w:val="left"/>
      <w:textAlignment w:val="baseline"/>
    </w:pPr>
    <w:rPr>
      <w:rFonts w:ascii="Arial" w:hAnsi="Arial" w:eastAsia="Times New Roman" w:cs="Arial"/>
      <w:color w:val="auto"/>
      <w:kern w:val="2"/>
      <w:sz w:val="20"/>
      <w:szCs w:val="20"/>
      <w:lang w:eastAsia="zh-CN" w:val="fr-FR" w:bidi="ar-SA"/>
    </w:rPr>
  </w:style>
  <w:style w:type="paragraph" w:styleId="RedTxt" w:customStyle="1">
    <w:name w:val="RedTxt"/>
    <w:basedOn w:val="Standard"/>
    <w:qFormat/>
    <w:rsid w:val="002f04d5"/>
    <w:pPr>
      <w:keepLines/>
    </w:pPr>
    <w:rPr>
      <w:sz w:val="18"/>
      <w:szCs w:val="18"/>
    </w:rPr>
  </w:style>
  <w:style w:type="paragraph" w:styleId="Tabledesmatiresniveau2">
    <w:name w:val="TOC 2"/>
    <w:basedOn w:val="Normal"/>
    <w:next w:val="Normal"/>
    <w:autoRedefine/>
    <w:uiPriority w:val="39"/>
    <w:unhideWhenUsed/>
    <w:rsid w:val="002f04d5"/>
    <w:pPr>
      <w:spacing w:before="0" w:after="100"/>
      <w:ind w:left="220" w:hanging="0"/>
    </w:pPr>
    <w:rPr/>
  </w:style>
  <w:style w:type="paragraph" w:styleId="Tabledesmatiresniveau3">
    <w:name w:val="TOC 3"/>
    <w:basedOn w:val="Normal"/>
    <w:next w:val="Normal"/>
    <w:autoRedefine/>
    <w:uiPriority w:val="39"/>
    <w:unhideWhenUsed/>
    <w:rsid w:val="009c2f49"/>
    <w:pPr>
      <w:spacing w:before="0" w:after="100"/>
      <w:ind w:left="440" w:hanging="0"/>
    </w:pPr>
    <w:rPr/>
  </w:style>
  <w:style w:type="paragraph" w:styleId="Contenudetableau" w:customStyle="1">
    <w:name w:val="Contenu de tableau"/>
    <w:basedOn w:val="Standard"/>
    <w:qFormat/>
    <w:rsid w:val="009c2f49"/>
    <w:pPr>
      <w:suppressLineNumbers/>
    </w:pPr>
    <w:rPr/>
  </w:style>
  <w:style w:type="paragraph" w:styleId="NormalWeb">
    <w:name w:val="Normal (Web)"/>
    <w:basedOn w:val="Normal"/>
    <w:uiPriority w:val="99"/>
    <w:qFormat/>
    <w:rsid w:val="00c744a3"/>
    <w:pPr>
      <w:spacing w:lineRule="auto" w:line="240" w:beforeAutospacing="1" w:afterAutospacing="1"/>
    </w:pPr>
    <w:rPr>
      <w:rFonts w:eastAsia="Times New Roman" w:cs="Times New Roman"/>
      <w:szCs w:val="24"/>
      <w:lang w:eastAsia="fr-FR"/>
    </w:rPr>
  </w:style>
  <w:style w:type="paragraph" w:styleId="BalloonText">
    <w:name w:val="Balloon Text"/>
    <w:basedOn w:val="Normal"/>
    <w:link w:val="TextedebullesCar"/>
    <w:uiPriority w:val="99"/>
    <w:semiHidden/>
    <w:unhideWhenUsed/>
    <w:qFormat/>
    <w:rsid w:val="00eb3613"/>
    <w:pPr>
      <w:spacing w:lineRule="auto" w:line="240" w:before="0" w:after="0"/>
    </w:pPr>
    <w:rPr>
      <w:rFonts w:ascii="Segoe UI" w:hAnsi="Segoe UI" w:cs="Segoe UI"/>
      <w:sz w:val="18"/>
      <w:szCs w:val="18"/>
    </w:rPr>
  </w:style>
  <w:style w:type="paragraph" w:styleId="Annotationtext">
    <w:name w:val="annotation text"/>
    <w:basedOn w:val="Normal"/>
    <w:link w:val="CommentaireCar"/>
    <w:uiPriority w:val="99"/>
    <w:semiHidden/>
    <w:unhideWhenUsed/>
    <w:qFormat/>
    <w:rsid w:val="008b6a48"/>
    <w:pPr>
      <w:spacing w:lineRule="auto" w:line="240"/>
    </w:pPr>
    <w:rPr>
      <w:sz w:val="20"/>
      <w:szCs w:val="20"/>
    </w:rPr>
  </w:style>
  <w:style w:type="paragraph" w:styleId="Annotationsubject">
    <w:name w:val="annotation subject"/>
    <w:basedOn w:val="Annotationtext"/>
    <w:next w:val="Annotationtext"/>
    <w:link w:val="ObjetducommentaireCar"/>
    <w:uiPriority w:val="99"/>
    <w:semiHidden/>
    <w:unhideWhenUsed/>
    <w:qFormat/>
    <w:rsid w:val="008b6a48"/>
    <w:pPr/>
    <w:rPr>
      <w:b/>
      <w:bCs/>
    </w:rPr>
  </w:style>
  <w:style w:type="paragraph" w:styleId="Default" w:customStyle="1">
    <w:name w:val="Default"/>
    <w:basedOn w:val="Normal"/>
    <w:qFormat/>
    <w:rsid w:val="00531901"/>
    <w:pPr>
      <w:widowControl w:val="false"/>
      <w:suppressAutoHyphens w:val="true"/>
      <w:spacing w:lineRule="auto" w:line="240" w:before="0" w:after="0"/>
      <w:textAlignment w:val="baseline"/>
    </w:pPr>
    <w:rPr>
      <w:rFonts w:ascii="Comic Sans MS" w:hAnsi="Comic Sans MS" w:eastAsia="Comic Sans MS" w:cs="Comic Sans MS"/>
      <w:color w:val="000000"/>
      <w:kern w:val="2"/>
      <w:sz w:val="24"/>
      <w:szCs w:val="24"/>
      <w:lang w:eastAsia="zh-CN" w:bidi="hi-IN"/>
    </w:rPr>
  </w:style>
  <w:style w:type="paragraph" w:styleId="Tabledesmatiresniveau4">
    <w:name w:val="TOC 4"/>
    <w:basedOn w:val="Normal"/>
    <w:next w:val="Normal"/>
    <w:autoRedefine/>
    <w:uiPriority w:val="39"/>
    <w:unhideWhenUsed/>
    <w:rsid w:val="00ce14ce"/>
    <w:pPr>
      <w:spacing w:before="0" w:after="100"/>
      <w:ind w:left="660" w:hanging="0"/>
    </w:pPr>
    <w:rPr>
      <w:rFonts w:ascii="Calibri" w:hAnsi="Calibri" w:eastAsia="" w:asciiTheme="minorHAnsi" w:eastAsiaTheme="minorEastAsia" w:hAnsiTheme="minorHAnsi"/>
      <w:lang w:eastAsia="fr-FR"/>
    </w:rPr>
  </w:style>
  <w:style w:type="paragraph" w:styleId="Tabledesmatiresniveau5">
    <w:name w:val="TOC 5"/>
    <w:basedOn w:val="Normal"/>
    <w:next w:val="Normal"/>
    <w:autoRedefine/>
    <w:uiPriority w:val="39"/>
    <w:unhideWhenUsed/>
    <w:rsid w:val="00ce14ce"/>
    <w:pPr>
      <w:spacing w:before="0" w:after="100"/>
      <w:ind w:left="880" w:hanging="0"/>
    </w:pPr>
    <w:rPr>
      <w:rFonts w:ascii="Calibri" w:hAnsi="Calibri" w:eastAsia="" w:asciiTheme="minorHAnsi" w:eastAsiaTheme="minorEastAsia" w:hAnsiTheme="minorHAnsi"/>
      <w:lang w:eastAsia="fr-FR"/>
    </w:rPr>
  </w:style>
  <w:style w:type="paragraph" w:styleId="Tabledesmatiresniveau6">
    <w:name w:val="TOC 6"/>
    <w:basedOn w:val="Normal"/>
    <w:next w:val="Normal"/>
    <w:autoRedefine/>
    <w:uiPriority w:val="39"/>
    <w:unhideWhenUsed/>
    <w:rsid w:val="00ce14ce"/>
    <w:pPr>
      <w:spacing w:before="0" w:after="100"/>
      <w:ind w:left="1100" w:hanging="0"/>
    </w:pPr>
    <w:rPr>
      <w:rFonts w:ascii="Calibri" w:hAnsi="Calibri" w:eastAsia="" w:asciiTheme="minorHAnsi" w:eastAsiaTheme="minorEastAsia" w:hAnsiTheme="minorHAnsi"/>
      <w:lang w:eastAsia="fr-FR"/>
    </w:rPr>
  </w:style>
  <w:style w:type="paragraph" w:styleId="Tabledesmatiresniveau7">
    <w:name w:val="TOC 7"/>
    <w:basedOn w:val="Normal"/>
    <w:next w:val="Normal"/>
    <w:autoRedefine/>
    <w:uiPriority w:val="39"/>
    <w:unhideWhenUsed/>
    <w:rsid w:val="00ce14ce"/>
    <w:pPr>
      <w:spacing w:before="0" w:after="100"/>
      <w:ind w:left="1320" w:hanging="0"/>
    </w:pPr>
    <w:rPr>
      <w:rFonts w:ascii="Calibri" w:hAnsi="Calibri" w:eastAsia="" w:asciiTheme="minorHAnsi" w:eastAsiaTheme="minorEastAsia" w:hAnsiTheme="minorHAnsi"/>
      <w:lang w:eastAsia="fr-FR"/>
    </w:rPr>
  </w:style>
  <w:style w:type="paragraph" w:styleId="Tabledesmatiresniveau8">
    <w:name w:val="TOC 8"/>
    <w:basedOn w:val="Normal"/>
    <w:next w:val="Normal"/>
    <w:autoRedefine/>
    <w:uiPriority w:val="39"/>
    <w:unhideWhenUsed/>
    <w:rsid w:val="00ce14ce"/>
    <w:pPr>
      <w:spacing w:before="0" w:after="100"/>
      <w:ind w:left="1540" w:hanging="0"/>
    </w:pPr>
    <w:rPr>
      <w:rFonts w:ascii="Calibri" w:hAnsi="Calibri" w:eastAsia="" w:asciiTheme="minorHAnsi" w:eastAsiaTheme="minorEastAsia" w:hAnsiTheme="minorHAnsi"/>
      <w:lang w:eastAsia="fr-FR"/>
    </w:rPr>
  </w:style>
  <w:style w:type="paragraph" w:styleId="Tabledesmatiresniveau9">
    <w:name w:val="TOC 9"/>
    <w:basedOn w:val="Normal"/>
    <w:next w:val="Normal"/>
    <w:autoRedefine/>
    <w:uiPriority w:val="39"/>
    <w:unhideWhenUsed/>
    <w:rsid w:val="00ce14ce"/>
    <w:pPr>
      <w:spacing w:before="0" w:after="100"/>
      <w:ind w:left="1760" w:hanging="0"/>
    </w:pPr>
    <w:rPr>
      <w:rFonts w:ascii="Calibri" w:hAnsi="Calibri" w:eastAsia="" w:asciiTheme="minorHAnsi" w:eastAsiaTheme="minorEastAsia" w:hAnsiTheme="minorHAnsi"/>
      <w:lang w:eastAsia="fr-FR"/>
    </w:rPr>
  </w:style>
  <w:style w:type="paragraph" w:styleId="P5" w:customStyle="1">
    <w:name w:val="p5"/>
    <w:basedOn w:val="Normal"/>
    <w:qFormat/>
    <w:rsid w:val="00d549a2"/>
    <w:pPr>
      <w:widowControl w:val="false"/>
      <w:tabs>
        <w:tab w:val="clear" w:pos="708"/>
        <w:tab w:val="left" w:pos="400" w:leader="none"/>
      </w:tabs>
      <w:spacing w:lineRule="atLeast" w:line="260" w:before="0" w:after="0"/>
      <w:ind w:left="1040" w:hanging="0"/>
    </w:pPr>
    <w:rPr>
      <w:rFonts w:ascii="Times New Roman" w:hAnsi="Times New Roman" w:eastAsia="Times New Roman" w:cs="Times New Roman"/>
      <w:sz w:val="24"/>
      <w:szCs w:val="20"/>
      <w:lang w:eastAsia="fr-FR"/>
    </w:rPr>
  </w:style>
  <w:style w:type="paragraph" w:styleId="AdressePageDeGarde" w:customStyle="1">
    <w:name w:val="AdressePageDeGarde"/>
    <w:basedOn w:val="Normal"/>
    <w:qFormat/>
    <w:rsid w:val="00c37700"/>
    <w:pPr>
      <w:spacing w:lineRule="auto" w:line="240" w:before="0" w:after="0"/>
      <w:jc w:val="center"/>
    </w:pPr>
    <w:rPr>
      <w:rFonts w:ascii="Times New Roman" w:hAnsi="Times New Roman" w:eastAsia="Times New Roman" w:cs="Times New Roman"/>
      <w:b/>
      <w:szCs w:val="20"/>
      <w:lang w:eastAsia="fr-FR"/>
    </w:rPr>
  </w:style>
  <w:style w:type="paragraph" w:styleId="Contenudecadre">
    <w:name w:val="Contenu de cadre"/>
    <w:basedOn w:val="Normal"/>
    <w:qFormat/>
    <w:pPr/>
    <w:rPr/>
  </w:style>
  <w:style w:type="numbering" w:styleId="NoList" w:default="1">
    <w:name w:val="No List"/>
    <w:uiPriority w:val="99"/>
    <w:semiHidden/>
    <w:unhideWhenUsed/>
    <w:qFormat/>
  </w:style>
  <w:style w:type="numbering" w:styleId="WW8Num19" w:customStyle="1">
    <w:name w:val="WW8Num19"/>
    <w:qFormat/>
    <w:rsid w:val="00840c65"/>
  </w:style>
  <w:style w:type="table" w:default="1" w:styleId="TableauNormal">
    <w:name w:val="Normal Table"/>
    <w:uiPriority w:val="99"/>
    <w:semiHidden/>
    <w:unhideWhenUsed/>
    <w:tblPr>
      <w:tblCellMar>
        <w:top w:w="0" w:type="dxa"/>
        <w:left w:w="108" w:type="dxa"/>
        <w:bottom w:w="0" w:type="dxa"/>
        <w:right w:w="108" w:type="dxa"/>
      </w:tblCellMar>
    </w:tblPr>
  </w:style>
  <w:style w:type="table" w:styleId="Grilledutableau">
    <w:name w:val="Table Grid"/>
    <w:basedOn w:val="TableauNormal"/>
    <w:uiPriority w:val="39"/>
    <w:rsid w:val="00757d94"/>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image" Target="media/image2.png"/><Relationship Id="rId4" Type="http://schemas.openxmlformats.org/officeDocument/2006/relationships/image" Target="media/image3.png"/><Relationship Id="rId5" Type="http://schemas.openxmlformats.org/officeDocument/2006/relationships/image" Target="media/image4.png"/><Relationship Id="rId6" Type="http://schemas.openxmlformats.org/officeDocument/2006/relationships/image" Target="media/image5.png"/><Relationship Id="rId7" Type="http://schemas.openxmlformats.org/officeDocument/2006/relationships/image" Target="media/image6.png"/><Relationship Id="rId8" Type="http://schemas.openxmlformats.org/officeDocument/2006/relationships/header" Target="header1.xml"/><Relationship Id="rId9" Type="http://schemas.openxmlformats.org/officeDocument/2006/relationships/footer" Target="footer1.xml"/><Relationship Id="rId10" Type="http://schemas.openxmlformats.org/officeDocument/2006/relationships/numbering" Target="numbering.xml"/><Relationship Id="rId11" Type="http://schemas.openxmlformats.org/officeDocument/2006/relationships/fontTable" Target="fontTable.xml"/><Relationship Id="rId12" Type="http://schemas.openxmlformats.org/officeDocument/2006/relationships/settings" Target="settings.xml"/><Relationship Id="rId13" Type="http://schemas.openxmlformats.org/officeDocument/2006/relationships/theme" Target="theme/theme1.xml"/><Relationship Id="rId14" Type="http://schemas.openxmlformats.org/officeDocument/2006/relationships/customXml" Target="../customXml/item1.xml"/>
</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3447F7-AF53-4687-BFDF-158DE76099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Application>LibreOffice/7.5.3.2$Windows_X86_64 LibreOffice_project/9f56dff12ba03b9acd7730a5a481eea045e468f3</Application>
  <AppVersion>15.0000</AppVersion>
  <Pages>8</Pages>
  <Words>1807</Words>
  <Characters>9558</Characters>
  <CharactersWithSpaces>11228</CharactersWithSpaces>
  <Paragraphs>168</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2026-01-27T11:13:17Z</dcterms:created>
  <dc:creator/>
  <dc:description/>
  <dc:language>fr-FR</dc:language>
  <cp:lastModifiedBy/>
  <cp:revision>1</cp:revision>
  <dc:subject/>
  <dc:title/>
</cp:coreProperties>
</file>

<file path=docProps/custom.xml><?xml version="1.0" encoding="utf-8"?>
<Properties xmlns="http://schemas.openxmlformats.org/officeDocument/2006/custom-properties" xmlns:vt="http://schemas.openxmlformats.org/officeDocument/2006/docPropsVTypes"/>
</file>